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1D767" w14:textId="55130B02" w:rsidR="00CB16EE" w:rsidRPr="00BD0A6F" w:rsidRDefault="00CB16EE" w:rsidP="00CB16EE">
      <w:pPr>
        <w:pStyle w:val="a3"/>
        <w:tabs>
          <w:tab w:val="right" w:pos="9639"/>
        </w:tabs>
        <w:rPr>
          <w:rFonts w:eastAsia="MS Mincho"/>
          <w:noProof w:val="0"/>
          <w:sz w:val="24"/>
          <w:szCs w:val="24"/>
          <w:lang w:val="en-GB" w:eastAsia="en-GB"/>
        </w:rPr>
      </w:pPr>
      <w:r w:rsidRPr="00BD0A6F">
        <w:rPr>
          <w:rFonts w:eastAsia="MS Mincho"/>
          <w:noProof w:val="0"/>
          <w:sz w:val="24"/>
          <w:szCs w:val="24"/>
          <w:lang w:val="en-GB" w:eastAsia="en-GB"/>
        </w:rPr>
        <w:t>3GPP TSG-RAN WG2 Meeting #123</w:t>
      </w:r>
      <w:r w:rsidRPr="00BD0A6F">
        <w:rPr>
          <w:rFonts w:eastAsia="MS Mincho"/>
          <w:noProof w:val="0"/>
          <w:sz w:val="24"/>
          <w:szCs w:val="24"/>
          <w:lang w:val="en-GB" w:eastAsia="en-GB"/>
        </w:rPr>
        <w:tab/>
      </w:r>
      <w:r w:rsidR="007B4ACC" w:rsidRPr="007B4ACC">
        <w:rPr>
          <w:rFonts w:eastAsia="MS Mincho"/>
          <w:noProof w:val="0"/>
          <w:sz w:val="24"/>
          <w:szCs w:val="24"/>
          <w:lang w:val="en-GB" w:eastAsia="en-GB"/>
        </w:rPr>
        <w:t>R2-2308011</w:t>
      </w:r>
    </w:p>
    <w:p w14:paraId="4AA29EF9" w14:textId="0394A39D" w:rsidR="00934AFD" w:rsidRPr="001C7FAA" w:rsidRDefault="00CB16EE" w:rsidP="00DD6F13">
      <w:pPr>
        <w:pStyle w:val="a3"/>
        <w:tabs>
          <w:tab w:val="right" w:pos="9639"/>
        </w:tabs>
        <w:jc w:val="both"/>
        <w:rPr>
          <w:rFonts w:cs="Arial"/>
          <w:b w:val="0"/>
          <w:bCs/>
          <w:i/>
          <w:iCs/>
          <w:sz w:val="24"/>
          <w:lang w:eastAsia="zh-CN"/>
        </w:rPr>
      </w:pPr>
      <w:r w:rsidRPr="00BD0A6F">
        <w:rPr>
          <w:rFonts w:eastAsia="MS Mincho"/>
          <w:noProof w:val="0"/>
          <w:sz w:val="24"/>
          <w:szCs w:val="24"/>
          <w:lang w:val="en-GB" w:eastAsia="en-GB"/>
        </w:rPr>
        <w:t>Toulouse, France, August 21-25, 2023</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5A7DB430"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C46C5C">
        <w:rPr>
          <w:rFonts w:eastAsia="宋体" w:cs="Arial"/>
          <w:b/>
          <w:bCs/>
          <w:kern w:val="2"/>
          <w:sz w:val="24"/>
          <w:szCs w:val="22"/>
          <w:lang w:val="en-US" w:eastAsia="zh-CN"/>
        </w:rPr>
        <w:t>7</w:t>
      </w:r>
      <w:r w:rsidR="00D564BF">
        <w:rPr>
          <w:rFonts w:eastAsia="宋体" w:cs="Arial"/>
          <w:b/>
          <w:bCs/>
          <w:kern w:val="2"/>
          <w:sz w:val="24"/>
          <w:szCs w:val="22"/>
          <w:lang w:val="en-US" w:eastAsia="zh-CN"/>
        </w:rPr>
        <w:t>.</w:t>
      </w:r>
      <w:r w:rsidR="00636E26">
        <w:rPr>
          <w:rFonts w:eastAsia="宋体" w:cs="Arial"/>
          <w:b/>
          <w:bCs/>
          <w:kern w:val="2"/>
          <w:sz w:val="24"/>
          <w:szCs w:val="22"/>
          <w:lang w:val="en-US" w:eastAsia="zh-CN"/>
        </w:rPr>
        <w:t>7</w:t>
      </w:r>
      <w:r w:rsidR="00D564BF">
        <w:rPr>
          <w:rFonts w:eastAsia="宋体" w:cs="Arial"/>
          <w:b/>
          <w:bCs/>
          <w:kern w:val="2"/>
          <w:sz w:val="24"/>
          <w:szCs w:val="22"/>
          <w:lang w:val="en-US" w:eastAsia="zh-CN"/>
        </w:rPr>
        <w:t>.</w:t>
      </w:r>
      <w:r w:rsidR="00B34A34">
        <w:rPr>
          <w:rFonts w:eastAsia="宋体" w:cs="Arial"/>
          <w:b/>
          <w:bCs/>
          <w:kern w:val="2"/>
          <w:sz w:val="24"/>
          <w:szCs w:val="22"/>
          <w:lang w:val="en-US" w:eastAsia="zh-CN"/>
        </w:rPr>
        <w:t>4</w:t>
      </w:r>
      <w:r w:rsidR="00DD06E6">
        <w:rPr>
          <w:rFonts w:eastAsia="宋体" w:cs="Arial"/>
          <w:b/>
          <w:bCs/>
          <w:kern w:val="2"/>
          <w:sz w:val="24"/>
          <w:szCs w:val="22"/>
          <w:lang w:val="en-US" w:eastAsia="zh-CN"/>
        </w:rPr>
        <w:t>.1</w:t>
      </w:r>
      <w:r w:rsidR="005649D8">
        <w:rPr>
          <w:rFonts w:eastAsia="宋体" w:cs="Arial" w:hint="eastAsia"/>
          <w:b/>
          <w:bCs/>
          <w:kern w:val="2"/>
          <w:sz w:val="24"/>
          <w:szCs w:val="22"/>
          <w:lang w:val="en-US" w:eastAsia="zh-CN"/>
        </w:rPr>
        <w:t>.</w:t>
      </w:r>
      <w:r w:rsidR="00A36620">
        <w:rPr>
          <w:rFonts w:eastAsia="宋体" w:cs="Arial"/>
          <w:b/>
          <w:bCs/>
          <w:kern w:val="2"/>
          <w:sz w:val="24"/>
          <w:szCs w:val="22"/>
          <w:lang w:val="en-US" w:eastAsia="zh-CN"/>
        </w:rPr>
        <w:t>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01C3117C"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6160B4">
        <w:rPr>
          <w:rFonts w:ascii="Arial" w:hAnsi="Arial" w:cs="Arial"/>
          <w:b/>
          <w:bCs/>
          <w:sz w:val="24"/>
        </w:rPr>
        <w:t>Feeder link switch time and reference location of</w:t>
      </w:r>
      <w:r w:rsidR="00DD6F13" w:rsidRPr="00DD6F13">
        <w:rPr>
          <w:rFonts w:ascii="Arial" w:hAnsi="Arial" w:cs="Arial"/>
          <w:b/>
          <w:bCs/>
          <w:sz w:val="24"/>
        </w:rPr>
        <w:t xml:space="preserve"> NTN moving cells</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BCA032B" w14:textId="402D1CB3" w:rsidR="00D564BF" w:rsidRPr="00C34317" w:rsidRDefault="00D6055D" w:rsidP="000B6AD1">
      <w:pPr>
        <w:rPr>
          <w:rFonts w:ascii="Times New Roman" w:hAnsi="Times New Roman"/>
          <w:sz w:val="22"/>
        </w:rPr>
      </w:pPr>
      <w:r w:rsidRPr="00C34317">
        <w:rPr>
          <w:rFonts w:ascii="Times New Roman" w:hAnsi="Times New Roman" w:hint="eastAsia"/>
          <w:sz w:val="22"/>
        </w:rPr>
        <w:t>T</w:t>
      </w:r>
      <w:r w:rsidRPr="00C34317">
        <w:rPr>
          <w:rFonts w:ascii="Times New Roman" w:hAnsi="Times New Roman"/>
          <w:sz w:val="22"/>
        </w:rPr>
        <w:t xml:space="preserve">he </w:t>
      </w:r>
      <w:r w:rsidR="00BC3468">
        <w:rPr>
          <w:rFonts w:ascii="Times New Roman" w:hAnsi="Times New Roman"/>
          <w:sz w:val="22"/>
        </w:rPr>
        <w:t xml:space="preserve">latest </w:t>
      </w:r>
      <w:r w:rsidRPr="00C34317">
        <w:rPr>
          <w:rFonts w:ascii="Times New Roman" w:hAnsi="Times New Roman"/>
          <w:sz w:val="22"/>
        </w:rPr>
        <w:t>RAN</w:t>
      </w:r>
      <w:r w:rsidR="00BC3468">
        <w:rPr>
          <w:rFonts w:ascii="Times New Roman" w:hAnsi="Times New Roman"/>
          <w:sz w:val="22"/>
        </w:rPr>
        <w:t>2</w:t>
      </w:r>
      <w:r w:rsidRPr="00C34317">
        <w:rPr>
          <w:rFonts w:ascii="Times New Roman" w:hAnsi="Times New Roman"/>
          <w:sz w:val="22"/>
        </w:rPr>
        <w:t xml:space="preserve"> meeting</w:t>
      </w:r>
      <w:r w:rsidR="00BC3468">
        <w:rPr>
          <w:rFonts w:ascii="Times New Roman" w:hAnsi="Times New Roman"/>
          <w:sz w:val="22"/>
        </w:rPr>
        <w:t>s</w:t>
      </w:r>
      <w:r w:rsidRPr="00C34317">
        <w:rPr>
          <w:rFonts w:ascii="Times New Roman" w:hAnsi="Times New Roman"/>
          <w:sz w:val="22"/>
        </w:rPr>
        <w:t xml:space="preserve"> made the following agreements regarding IDLE/INACTIVE mobility</w:t>
      </w:r>
      <w:r w:rsidR="001F6294" w:rsidRPr="00C34317">
        <w:rPr>
          <w:rFonts w:ascii="Times New Roman" w:hAnsi="Times New Roman"/>
          <w:sz w:val="22"/>
        </w:rPr>
        <w:t xml:space="preserve"> </w:t>
      </w:r>
      <w:r w:rsidR="00284C5B" w:rsidRPr="00C34317">
        <w:rPr>
          <w:rFonts w:ascii="Times New Roman" w:hAnsi="Times New Roman" w:hint="eastAsia"/>
          <w:sz w:val="22"/>
        </w:rPr>
        <w:t>for</w:t>
      </w:r>
      <w:r w:rsidR="00284C5B" w:rsidRPr="00C34317">
        <w:rPr>
          <w:rFonts w:ascii="Times New Roman" w:hAnsi="Times New Roman"/>
          <w:sz w:val="22"/>
        </w:rPr>
        <w:t xml:space="preserve"> </w:t>
      </w:r>
      <w:r w:rsidR="00284C5B" w:rsidRPr="00C34317">
        <w:rPr>
          <w:rFonts w:ascii="Times New Roman" w:hAnsi="Times New Roman" w:hint="eastAsia"/>
          <w:sz w:val="22"/>
        </w:rPr>
        <w:t>moving</w:t>
      </w:r>
      <w:r w:rsidR="00284C5B" w:rsidRPr="00C34317">
        <w:rPr>
          <w:rFonts w:ascii="Times New Roman" w:hAnsi="Times New Roman"/>
          <w:sz w:val="22"/>
        </w:rPr>
        <w:t xml:space="preserve"> </w:t>
      </w:r>
      <w:r w:rsidR="00284C5B" w:rsidRPr="00C34317">
        <w:rPr>
          <w:rFonts w:ascii="Times New Roman" w:hAnsi="Times New Roman" w:hint="eastAsia"/>
          <w:sz w:val="22"/>
        </w:rPr>
        <w:t>cells</w:t>
      </w:r>
      <w:r w:rsidR="00284C5B" w:rsidRPr="00C34317">
        <w:rPr>
          <w:rFonts w:ascii="Times New Roman" w:hAnsi="Times New Roman"/>
          <w:sz w:val="22"/>
        </w:rPr>
        <w:t xml:space="preserve"> </w:t>
      </w:r>
      <w:r w:rsidR="001F6294" w:rsidRPr="00C34317">
        <w:rPr>
          <w:rFonts w:ascii="Times New Roman" w:hAnsi="Times New Roman"/>
          <w:sz w:val="22"/>
        </w:rPr>
        <w:t>in NR NTN:</w:t>
      </w:r>
    </w:p>
    <w:tbl>
      <w:tblPr>
        <w:tblStyle w:val="af1"/>
        <w:tblW w:w="0" w:type="auto"/>
        <w:tblLook w:val="04A0" w:firstRow="1" w:lastRow="0" w:firstColumn="1" w:lastColumn="0" w:noHBand="0" w:noVBand="1"/>
      </w:tblPr>
      <w:tblGrid>
        <w:gridCol w:w="9629"/>
      </w:tblGrid>
      <w:tr w:rsidR="009B4F09" w:rsidRPr="00C34317" w14:paraId="4A913ABB" w14:textId="77777777" w:rsidTr="009B4F09">
        <w:tc>
          <w:tcPr>
            <w:tcW w:w="9629" w:type="dxa"/>
          </w:tcPr>
          <w:p w14:paraId="179D9301" w14:textId="48CE137F" w:rsidR="00BC3468" w:rsidRPr="00BC3468" w:rsidRDefault="00BC3468" w:rsidP="00BC3468">
            <w:pPr>
              <w:rPr>
                <w:rFonts w:ascii="Times New Roman" w:hAnsi="Times New Roman"/>
                <w:bCs/>
                <w:sz w:val="22"/>
              </w:rPr>
            </w:pPr>
            <w:r w:rsidRPr="00BC3468">
              <w:rPr>
                <w:rFonts w:ascii="Times New Roman" w:hAnsi="Times New Roman"/>
                <w:sz w:val="22"/>
              </w:rPr>
              <w:t>RAN2#121 agreements</w:t>
            </w:r>
          </w:p>
          <w:p w14:paraId="12377BF7" w14:textId="2881D38D" w:rsidR="00BE30B2" w:rsidRPr="00BE30B2" w:rsidRDefault="00BE30B2" w:rsidP="00BC3468">
            <w:pPr>
              <w:pStyle w:val="a6"/>
              <w:numPr>
                <w:ilvl w:val="0"/>
                <w:numId w:val="18"/>
              </w:numPr>
              <w:spacing w:after="0"/>
              <w:ind w:firstLineChars="0"/>
              <w:rPr>
                <w:bCs/>
                <w:sz w:val="22"/>
                <w:szCs w:val="22"/>
              </w:rPr>
            </w:pPr>
            <w:r w:rsidRPr="00BE30B2">
              <w:rPr>
                <w:bCs/>
                <w:sz w:val="22"/>
                <w:szCs w:val="22"/>
              </w:rPr>
              <w:t>In R18, for earth-moving system, satellite with steerable beam is not considered as part of mobility enhancement in NTN.</w:t>
            </w:r>
          </w:p>
          <w:p w14:paraId="759B80CE" w14:textId="77777777" w:rsidR="00BE30B2" w:rsidRPr="00BE30B2" w:rsidRDefault="00BE30B2" w:rsidP="00BC3468">
            <w:pPr>
              <w:pStyle w:val="a6"/>
              <w:numPr>
                <w:ilvl w:val="0"/>
                <w:numId w:val="18"/>
              </w:numPr>
              <w:spacing w:after="0"/>
              <w:ind w:firstLineChars="0"/>
              <w:rPr>
                <w:bCs/>
                <w:sz w:val="22"/>
                <w:szCs w:val="22"/>
              </w:rPr>
            </w:pPr>
            <w:r w:rsidRPr="00BE30B2">
              <w:rPr>
                <w:bCs/>
                <w:sz w:val="22"/>
                <w:szCs w:val="22"/>
              </w:rPr>
              <w:t>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p>
          <w:p w14:paraId="69A94303" w14:textId="77777777" w:rsidR="00BE30B2" w:rsidRPr="00BE30B2" w:rsidRDefault="00BE30B2" w:rsidP="00BC3468">
            <w:pPr>
              <w:pStyle w:val="a6"/>
              <w:numPr>
                <w:ilvl w:val="0"/>
                <w:numId w:val="18"/>
              </w:numPr>
              <w:spacing w:after="0"/>
              <w:ind w:firstLineChars="0"/>
              <w:rPr>
                <w:bCs/>
                <w:sz w:val="22"/>
                <w:szCs w:val="22"/>
              </w:rPr>
            </w:pPr>
            <w:r w:rsidRPr="00BE30B2">
              <w:rPr>
                <w:bCs/>
                <w:sz w:val="22"/>
                <w:szCs w:val="22"/>
              </w:rPr>
              <w:t>For cell selection/reselection, location-based measurement initiation is supported in earth-moving cell</w:t>
            </w:r>
          </w:p>
          <w:p w14:paraId="58720CB3" w14:textId="77777777" w:rsidR="00F145B5" w:rsidRDefault="00BE30B2" w:rsidP="00BC3468">
            <w:pPr>
              <w:pStyle w:val="a6"/>
              <w:numPr>
                <w:ilvl w:val="0"/>
                <w:numId w:val="18"/>
              </w:numPr>
              <w:spacing w:after="0"/>
              <w:ind w:firstLineChars="0"/>
              <w:rPr>
                <w:bCs/>
                <w:sz w:val="22"/>
                <w:szCs w:val="22"/>
              </w:rPr>
            </w:pPr>
            <w:r w:rsidRPr="00BE30B2">
              <w:rPr>
                <w:bCs/>
                <w:sz w:val="22"/>
                <w:szCs w:val="22"/>
              </w:rPr>
              <w:t xml:space="preserve">For earth-moving cell, the location-based cell measurement rules of quasi-fixed cell is reused, i.e., for cell reselection in earth-moving cell, UE initiates measurements when its location to serving cell reference location is larger than the configured distance threshold. </w:t>
            </w:r>
          </w:p>
          <w:p w14:paraId="7D0B4699" w14:textId="26DEDDEF" w:rsidR="00BC3468" w:rsidRPr="00BC3468" w:rsidRDefault="00BC3468" w:rsidP="00BC3468">
            <w:pPr>
              <w:rPr>
                <w:rFonts w:ascii="Times New Roman" w:hAnsi="Times New Roman"/>
                <w:bCs/>
                <w:sz w:val="22"/>
              </w:rPr>
            </w:pPr>
            <w:r w:rsidRPr="00BC3468">
              <w:rPr>
                <w:rFonts w:ascii="Times New Roman" w:hAnsi="Times New Roman"/>
                <w:sz w:val="22"/>
              </w:rPr>
              <w:t>RAN2#121</w:t>
            </w:r>
            <w:r>
              <w:rPr>
                <w:rFonts w:ascii="Times New Roman" w:hAnsi="Times New Roman"/>
                <w:sz w:val="22"/>
              </w:rPr>
              <w:t>bis</w:t>
            </w:r>
            <w:r w:rsidRPr="00BC3468">
              <w:rPr>
                <w:rFonts w:ascii="Times New Roman" w:hAnsi="Times New Roman"/>
                <w:sz w:val="22"/>
              </w:rPr>
              <w:t xml:space="preserve"> agreements</w:t>
            </w:r>
          </w:p>
          <w:p w14:paraId="2F61FCCE" w14:textId="77777777" w:rsidR="00F73E01" w:rsidRPr="00F73E01" w:rsidRDefault="00F73E01" w:rsidP="00BC3468">
            <w:pPr>
              <w:pStyle w:val="a6"/>
              <w:numPr>
                <w:ilvl w:val="0"/>
                <w:numId w:val="18"/>
              </w:numPr>
              <w:spacing w:after="0"/>
              <w:ind w:firstLineChars="0"/>
              <w:rPr>
                <w:bCs/>
                <w:sz w:val="22"/>
                <w:szCs w:val="22"/>
              </w:rPr>
            </w:pPr>
            <w:r w:rsidRPr="00F73E01">
              <w:rPr>
                <w:bCs/>
                <w:sz w:val="22"/>
                <w:szCs w:val="22"/>
              </w:rPr>
              <w:t xml:space="preserve">RAN2 understands that for earth-moving cell reselection, the UE can derive the trajectory of serving cell with rough accuracy based on serving satellite ephemeris and </w:t>
            </w:r>
            <w:r w:rsidRPr="00E16ECE">
              <w:rPr>
                <w:bCs/>
                <w:i/>
                <w:iCs/>
                <w:sz w:val="22"/>
                <w:szCs w:val="22"/>
              </w:rPr>
              <w:t>epochTime</w:t>
            </w:r>
            <w:r w:rsidRPr="00F73E01">
              <w:rPr>
                <w:bCs/>
                <w:sz w:val="22"/>
                <w:szCs w:val="22"/>
              </w:rPr>
              <w:t xml:space="preserve">, with the assumption that the serving cell reference location broadcast by the network is the one at Epoch time (FFS whether a new </w:t>
            </w:r>
            <w:r w:rsidRPr="00E16ECE">
              <w:rPr>
                <w:bCs/>
                <w:i/>
                <w:iCs/>
                <w:sz w:val="22"/>
                <w:szCs w:val="22"/>
              </w:rPr>
              <w:t>epochTime</w:t>
            </w:r>
            <w:r w:rsidRPr="00F73E01">
              <w:rPr>
                <w:bCs/>
                <w:sz w:val="22"/>
                <w:szCs w:val="22"/>
              </w:rPr>
              <w:t xml:space="preserve"> IE is needed). RAN2 understanding is that both PVT and orbital parameters can be used for this. FFS if additional information is needed to allow more accurate measurements.</w:t>
            </w:r>
          </w:p>
          <w:p w14:paraId="5D2C3E28" w14:textId="77777777" w:rsidR="00F73E01" w:rsidRPr="00F73E01" w:rsidRDefault="00F73E01" w:rsidP="00BC3468">
            <w:pPr>
              <w:pStyle w:val="a6"/>
              <w:numPr>
                <w:ilvl w:val="0"/>
                <w:numId w:val="18"/>
              </w:numPr>
              <w:spacing w:after="0"/>
              <w:ind w:firstLineChars="0"/>
              <w:rPr>
                <w:bCs/>
                <w:sz w:val="22"/>
                <w:szCs w:val="22"/>
              </w:rPr>
            </w:pPr>
            <w:r w:rsidRPr="00F73E01">
              <w:rPr>
                <w:bCs/>
                <w:sz w:val="22"/>
                <w:szCs w:val="22"/>
              </w:rPr>
              <w:t>For earth-moving cell, new IE is introduced to indicate the reference location of serving cell.</w:t>
            </w:r>
          </w:p>
          <w:p w14:paraId="05595DC6" w14:textId="77777777" w:rsidR="00F73E01" w:rsidRPr="00F73E01" w:rsidRDefault="00F73E01" w:rsidP="00BC3468">
            <w:pPr>
              <w:pStyle w:val="a6"/>
              <w:numPr>
                <w:ilvl w:val="0"/>
                <w:numId w:val="18"/>
              </w:numPr>
              <w:spacing w:after="0"/>
              <w:ind w:firstLineChars="0"/>
              <w:rPr>
                <w:bCs/>
                <w:sz w:val="22"/>
                <w:szCs w:val="22"/>
              </w:rPr>
            </w:pPr>
            <w:r w:rsidRPr="00F73E01">
              <w:rPr>
                <w:bCs/>
                <w:sz w:val="22"/>
                <w:szCs w:val="22"/>
              </w:rPr>
              <w:t xml:space="preserve">For cell (re)selection in earth-moving system, a distance threshold is introduced for location-based measurement initiation, which reuses </w:t>
            </w:r>
            <w:r w:rsidRPr="00E16ECE">
              <w:rPr>
                <w:bCs/>
                <w:i/>
                <w:iCs/>
                <w:sz w:val="22"/>
                <w:szCs w:val="22"/>
              </w:rPr>
              <w:t>distanceThresh</w:t>
            </w:r>
            <w:r w:rsidRPr="00F73E01">
              <w:rPr>
                <w:bCs/>
                <w:sz w:val="22"/>
                <w:szCs w:val="22"/>
              </w:rPr>
              <w:t xml:space="preserve"> in SIB19.</w:t>
            </w:r>
          </w:p>
          <w:p w14:paraId="506F3538" w14:textId="77777777" w:rsidR="00F73E01" w:rsidRPr="00F73E01" w:rsidRDefault="00F73E01" w:rsidP="00BC3468">
            <w:pPr>
              <w:pStyle w:val="a6"/>
              <w:numPr>
                <w:ilvl w:val="0"/>
                <w:numId w:val="18"/>
              </w:numPr>
              <w:spacing w:after="0"/>
              <w:ind w:firstLineChars="0"/>
              <w:rPr>
                <w:bCs/>
                <w:sz w:val="22"/>
                <w:szCs w:val="22"/>
              </w:rPr>
            </w:pPr>
            <w:r w:rsidRPr="00F73E01">
              <w:rPr>
                <w:bCs/>
                <w:sz w:val="22"/>
                <w:szCs w:val="22"/>
              </w:rPr>
              <w:t>For cell (re)selection in earth-moving system, time-based measurement initiation is used to address feeder-link switch case.</w:t>
            </w:r>
          </w:p>
          <w:p w14:paraId="6B58D641" w14:textId="77777777" w:rsidR="00F73E01" w:rsidRDefault="00F73E01" w:rsidP="00BC3468">
            <w:pPr>
              <w:pStyle w:val="a6"/>
              <w:numPr>
                <w:ilvl w:val="0"/>
                <w:numId w:val="18"/>
              </w:numPr>
              <w:spacing w:after="0"/>
              <w:ind w:firstLineChars="0"/>
              <w:rPr>
                <w:bCs/>
                <w:sz w:val="22"/>
                <w:szCs w:val="22"/>
              </w:rPr>
            </w:pPr>
            <w:r w:rsidRPr="00F73E01">
              <w:rPr>
                <w:bCs/>
                <w:sz w:val="22"/>
                <w:szCs w:val="22"/>
              </w:rPr>
              <w:t>Time-based cell reselection criteria is not pursued in R18.</w:t>
            </w:r>
          </w:p>
          <w:p w14:paraId="14B025BB" w14:textId="38DF75D8" w:rsidR="00CB16EE" w:rsidRPr="00BC3468" w:rsidRDefault="00CB16EE" w:rsidP="00CB16EE">
            <w:pPr>
              <w:rPr>
                <w:rFonts w:ascii="Times New Roman" w:hAnsi="Times New Roman"/>
                <w:bCs/>
                <w:sz w:val="22"/>
              </w:rPr>
            </w:pPr>
            <w:r w:rsidRPr="00BC3468">
              <w:rPr>
                <w:rFonts w:ascii="Times New Roman" w:hAnsi="Times New Roman"/>
                <w:sz w:val="22"/>
              </w:rPr>
              <w:t>RAN2#12</w:t>
            </w:r>
            <w:r w:rsidR="00E16ECE">
              <w:rPr>
                <w:rFonts w:ascii="Times New Roman" w:hAnsi="Times New Roman"/>
                <w:sz w:val="22"/>
              </w:rPr>
              <w:t>2</w:t>
            </w:r>
            <w:r w:rsidRPr="00BC3468">
              <w:rPr>
                <w:rFonts w:ascii="Times New Roman" w:hAnsi="Times New Roman"/>
                <w:sz w:val="22"/>
              </w:rPr>
              <w:t xml:space="preserve"> agreements</w:t>
            </w:r>
          </w:p>
          <w:p w14:paraId="620D76B3" w14:textId="77BC2884" w:rsidR="00CB16EE" w:rsidRPr="00CB16EE" w:rsidRDefault="00CB16EE" w:rsidP="00CB16EE">
            <w:pPr>
              <w:pStyle w:val="a6"/>
              <w:numPr>
                <w:ilvl w:val="0"/>
                <w:numId w:val="18"/>
              </w:numPr>
              <w:spacing w:after="0"/>
              <w:ind w:firstLineChars="0"/>
              <w:rPr>
                <w:bCs/>
                <w:sz w:val="22"/>
                <w:szCs w:val="22"/>
              </w:rPr>
            </w:pPr>
            <w:r w:rsidRPr="00CB16EE">
              <w:rPr>
                <w:bCs/>
                <w:sz w:val="22"/>
                <w:szCs w:val="22"/>
              </w:rPr>
              <w:t xml:space="preserve">Re-use </w:t>
            </w:r>
            <w:r w:rsidRPr="00E16ECE">
              <w:rPr>
                <w:bCs/>
                <w:i/>
                <w:iCs/>
                <w:sz w:val="22"/>
                <w:szCs w:val="22"/>
              </w:rPr>
              <w:t>epochTime-r17</w:t>
            </w:r>
            <w:r w:rsidRPr="00CB16EE">
              <w:rPr>
                <w:bCs/>
                <w:sz w:val="22"/>
                <w:szCs w:val="22"/>
              </w:rPr>
              <w:t xml:space="preserve"> in </w:t>
            </w:r>
            <w:r w:rsidRPr="00E16ECE">
              <w:rPr>
                <w:bCs/>
                <w:i/>
                <w:iCs/>
                <w:sz w:val="22"/>
                <w:szCs w:val="22"/>
              </w:rPr>
              <w:t>ntn-Config</w:t>
            </w:r>
            <w:r w:rsidRPr="00CB16EE">
              <w:rPr>
                <w:bCs/>
                <w:sz w:val="22"/>
                <w:szCs w:val="22"/>
              </w:rPr>
              <w:t xml:space="preserve"> IE to provide the time reference for an Earth moving cell reference location.</w:t>
            </w:r>
          </w:p>
          <w:p w14:paraId="398FAADD" w14:textId="3B5C6BA3" w:rsidR="00CB16EE" w:rsidRPr="00CB16EE" w:rsidRDefault="00CB16EE" w:rsidP="00CB16EE">
            <w:pPr>
              <w:pStyle w:val="a6"/>
              <w:numPr>
                <w:ilvl w:val="0"/>
                <w:numId w:val="18"/>
              </w:numPr>
              <w:spacing w:after="0"/>
              <w:ind w:firstLineChars="0"/>
              <w:rPr>
                <w:bCs/>
                <w:sz w:val="22"/>
                <w:szCs w:val="22"/>
              </w:rPr>
            </w:pPr>
            <w:r w:rsidRPr="00CB16EE">
              <w:rPr>
                <w:bCs/>
                <w:sz w:val="22"/>
                <w:szCs w:val="22"/>
              </w:rPr>
              <w:t xml:space="preserve">Re-use </w:t>
            </w:r>
            <w:r w:rsidRPr="00E16ECE">
              <w:rPr>
                <w:bCs/>
                <w:i/>
                <w:iCs/>
                <w:sz w:val="22"/>
                <w:szCs w:val="22"/>
              </w:rPr>
              <w:t>t-Service-r17</w:t>
            </w:r>
            <w:r w:rsidRPr="00CB16EE">
              <w:rPr>
                <w:bCs/>
                <w:sz w:val="22"/>
                <w:szCs w:val="22"/>
              </w:rPr>
              <w:t xml:space="preserve"> format for the IE used to trigger UE neighbour cell measurements prior to cell replacement due to feeder link switch. FFS whether we reuse exactly the same IE name as in R17 (updating the field description) or a new one</w:t>
            </w:r>
            <w:r w:rsidR="00E16ECE">
              <w:rPr>
                <w:bCs/>
                <w:sz w:val="22"/>
                <w:szCs w:val="22"/>
              </w:rPr>
              <w:t>.</w:t>
            </w:r>
          </w:p>
          <w:p w14:paraId="73316F8C" w14:textId="4F36DD68" w:rsidR="00CB16EE" w:rsidRPr="00CB16EE" w:rsidRDefault="00CB16EE" w:rsidP="00CB16EE">
            <w:pPr>
              <w:pStyle w:val="a6"/>
              <w:numPr>
                <w:ilvl w:val="0"/>
                <w:numId w:val="18"/>
              </w:numPr>
              <w:spacing w:after="0"/>
              <w:ind w:firstLineChars="0"/>
              <w:rPr>
                <w:bCs/>
                <w:sz w:val="22"/>
                <w:szCs w:val="22"/>
              </w:rPr>
            </w:pPr>
            <w:r w:rsidRPr="00CB16EE">
              <w:rPr>
                <w:bCs/>
                <w:sz w:val="22"/>
                <w:szCs w:val="22"/>
              </w:rPr>
              <w:t>Location-based cell reselection criteria are not pursued in R18.</w:t>
            </w:r>
          </w:p>
        </w:tc>
      </w:tr>
    </w:tbl>
    <w:p w14:paraId="6DA7073D" w14:textId="1BE83A1B" w:rsidR="009B4F09" w:rsidRPr="00C34317" w:rsidRDefault="009B4F09" w:rsidP="000B6AD1">
      <w:pPr>
        <w:rPr>
          <w:rFonts w:ascii="Times New Roman" w:hAnsi="Times New Roman"/>
          <w:sz w:val="22"/>
        </w:rPr>
      </w:pPr>
      <w:r w:rsidRPr="00C34317">
        <w:rPr>
          <w:rFonts w:ascii="Times New Roman" w:hAnsi="Times New Roman" w:hint="eastAsia"/>
          <w:sz w:val="22"/>
        </w:rPr>
        <w:t>I</w:t>
      </w:r>
      <w:r w:rsidRPr="00C34317">
        <w:rPr>
          <w:rFonts w:ascii="Times New Roman" w:hAnsi="Times New Roman"/>
          <w:sz w:val="22"/>
        </w:rPr>
        <w:t xml:space="preserve">n this contribution we </w:t>
      </w:r>
      <w:r w:rsidR="00D6055D" w:rsidRPr="00C34317">
        <w:rPr>
          <w:rFonts w:ascii="Times New Roman" w:hAnsi="Times New Roman"/>
          <w:sz w:val="22"/>
        </w:rPr>
        <w:t>further discuss</w:t>
      </w:r>
      <w:r w:rsidR="00E37423" w:rsidRPr="00C34317">
        <w:rPr>
          <w:rFonts w:ascii="Times New Roman" w:hAnsi="Times New Roman"/>
          <w:sz w:val="22"/>
        </w:rPr>
        <w:t xml:space="preserve"> </w:t>
      </w:r>
      <w:r w:rsidR="00E16ECE">
        <w:rPr>
          <w:rFonts w:ascii="Times New Roman" w:hAnsi="Times New Roman" w:hint="eastAsia"/>
          <w:sz w:val="22"/>
        </w:rPr>
        <w:t>potential</w:t>
      </w:r>
      <w:r w:rsidR="00E16ECE">
        <w:rPr>
          <w:rFonts w:ascii="Times New Roman" w:hAnsi="Times New Roman"/>
          <w:sz w:val="22"/>
        </w:rPr>
        <w:t xml:space="preserve"> </w:t>
      </w:r>
      <w:r w:rsidR="00284C5B" w:rsidRPr="00C34317">
        <w:rPr>
          <w:rFonts w:ascii="Times New Roman" w:hAnsi="Times New Roman" w:hint="eastAsia"/>
          <w:sz w:val="22"/>
        </w:rPr>
        <w:t>solutions</w:t>
      </w:r>
      <w:r w:rsidR="00340E9D" w:rsidRPr="00C34317">
        <w:rPr>
          <w:rFonts w:ascii="Times New Roman" w:hAnsi="Times New Roman"/>
          <w:sz w:val="22"/>
        </w:rPr>
        <w:t xml:space="preserve"> </w:t>
      </w:r>
      <w:r w:rsidR="00370B31" w:rsidRPr="00C34317">
        <w:rPr>
          <w:rFonts w:ascii="Times New Roman" w:hAnsi="Times New Roman"/>
          <w:sz w:val="22"/>
        </w:rPr>
        <w:t>for</w:t>
      </w:r>
      <w:r w:rsidR="0002762C" w:rsidRPr="0002762C">
        <w:t xml:space="preserve"> </w:t>
      </w:r>
      <w:r w:rsidR="0002762C">
        <w:rPr>
          <w:rFonts w:ascii="Times New Roman" w:hAnsi="Times New Roman"/>
          <w:sz w:val="22"/>
        </w:rPr>
        <w:t>n</w:t>
      </w:r>
      <w:r w:rsidR="0002762C" w:rsidRPr="0002762C">
        <w:rPr>
          <w:rFonts w:ascii="Times New Roman" w:hAnsi="Times New Roman"/>
          <w:sz w:val="22"/>
        </w:rPr>
        <w:t>eighbour cell measurement triggering</w:t>
      </w:r>
      <w:r w:rsidR="00284C5B" w:rsidRPr="00C34317">
        <w:rPr>
          <w:rFonts w:ascii="Times New Roman" w:hAnsi="Times New Roman"/>
          <w:sz w:val="22"/>
        </w:rPr>
        <w:t xml:space="preserve"> </w:t>
      </w:r>
      <w:r w:rsidR="0002762C">
        <w:rPr>
          <w:rFonts w:ascii="Times New Roman" w:hAnsi="Times New Roman"/>
          <w:sz w:val="22"/>
        </w:rPr>
        <w:t>in</w:t>
      </w:r>
      <w:r w:rsidR="00284C5B" w:rsidRPr="00C34317">
        <w:rPr>
          <w:rFonts w:ascii="Times New Roman" w:hAnsi="Times New Roman"/>
          <w:sz w:val="22"/>
        </w:rPr>
        <w:t xml:space="preserve"> moving cells</w:t>
      </w:r>
      <w:r w:rsidR="002B1D95">
        <w:rPr>
          <w:rFonts w:ascii="Times New Roman" w:hAnsi="Times New Roman"/>
          <w:sz w:val="22"/>
        </w:rPr>
        <w:t xml:space="preserve"> based on above agreements</w:t>
      </w:r>
      <w:r w:rsidR="00284C5B" w:rsidRPr="00C34317">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lastRenderedPageBreak/>
        <w:t>Discussion</w:t>
      </w:r>
    </w:p>
    <w:p w14:paraId="40AE38C1" w14:textId="6CB65DF2" w:rsidR="00E16ECE" w:rsidRPr="00843320" w:rsidRDefault="00E16ECE" w:rsidP="00E16ECE">
      <w:pPr>
        <w:rPr>
          <w:rFonts w:ascii="Times New Roman" w:hAnsi="Times New Roman"/>
          <w:b/>
          <w:bCs/>
          <w:sz w:val="22"/>
          <w:u w:val="single"/>
        </w:rPr>
      </w:pPr>
      <w:r>
        <w:rPr>
          <w:rFonts w:ascii="Times New Roman" w:hAnsi="Times New Roman"/>
          <w:b/>
          <w:bCs/>
          <w:sz w:val="22"/>
          <w:u w:val="single"/>
        </w:rPr>
        <w:t>Indication of f</w:t>
      </w:r>
      <w:r>
        <w:rPr>
          <w:rFonts w:ascii="Times New Roman" w:hAnsi="Times New Roman" w:hint="eastAsia"/>
          <w:b/>
          <w:bCs/>
          <w:sz w:val="22"/>
          <w:u w:val="single"/>
        </w:rPr>
        <w:t>eed</w:t>
      </w:r>
      <w:r w:rsidR="0084158A">
        <w:rPr>
          <w:rFonts w:ascii="Times New Roman" w:hAnsi="Times New Roman"/>
          <w:b/>
          <w:bCs/>
          <w:sz w:val="22"/>
          <w:u w:val="single"/>
        </w:rPr>
        <w:t xml:space="preserve">er </w:t>
      </w:r>
      <w:r>
        <w:rPr>
          <w:rFonts w:ascii="Times New Roman" w:hAnsi="Times New Roman" w:hint="eastAsia"/>
          <w:b/>
          <w:bCs/>
          <w:sz w:val="22"/>
          <w:u w:val="single"/>
        </w:rPr>
        <w:t>link</w:t>
      </w:r>
      <w:r>
        <w:rPr>
          <w:rFonts w:ascii="Times New Roman" w:hAnsi="Times New Roman"/>
          <w:b/>
          <w:bCs/>
          <w:sz w:val="22"/>
          <w:u w:val="single"/>
        </w:rPr>
        <w:t xml:space="preserve"> switch time</w:t>
      </w:r>
    </w:p>
    <w:p w14:paraId="5EF1CE8C" w14:textId="315278B4" w:rsidR="00E16ECE" w:rsidRDefault="00E16ECE" w:rsidP="0084158A">
      <w:pPr>
        <w:rPr>
          <w:rFonts w:ascii="Times New Roman" w:eastAsiaTheme="minorEastAsia" w:hAnsi="Times New Roman"/>
          <w:sz w:val="22"/>
        </w:rPr>
      </w:pPr>
      <w:r>
        <w:rPr>
          <w:rFonts w:ascii="Times New Roman" w:eastAsiaTheme="minorEastAsia" w:hAnsi="Times New Roman"/>
          <w:sz w:val="22"/>
        </w:rPr>
        <w:t>Indication of the feed</w:t>
      </w:r>
      <w:r w:rsidR="0084158A">
        <w:rPr>
          <w:rFonts w:ascii="Times New Roman" w:eastAsiaTheme="minorEastAsia" w:hAnsi="Times New Roman"/>
          <w:sz w:val="22"/>
        </w:rPr>
        <w:t>er</w:t>
      </w:r>
      <w:r>
        <w:rPr>
          <w:rFonts w:ascii="Times New Roman" w:eastAsiaTheme="minorEastAsia" w:hAnsi="Times New Roman"/>
          <w:sz w:val="22"/>
        </w:rPr>
        <w:t xml:space="preserve"> link switch time to UE has been agreed in previous meetings reusing the format of </w:t>
      </w:r>
      <w:r w:rsidRPr="00E16ECE">
        <w:rPr>
          <w:rFonts w:ascii="Times New Roman" w:eastAsiaTheme="minorEastAsia" w:hAnsi="Times New Roman"/>
          <w:i/>
          <w:iCs/>
          <w:sz w:val="22"/>
        </w:rPr>
        <w:t>t-Service</w:t>
      </w:r>
      <w:r>
        <w:rPr>
          <w:rFonts w:ascii="Times New Roman" w:eastAsiaTheme="minorEastAsia" w:hAnsi="Times New Roman"/>
          <w:sz w:val="22"/>
        </w:rPr>
        <w:t xml:space="preserve">, and the only remaining issue is whether to define a new IE name or reuse </w:t>
      </w:r>
      <w:r w:rsidRPr="00E16ECE">
        <w:rPr>
          <w:rFonts w:ascii="Times New Roman" w:eastAsiaTheme="minorEastAsia" w:hAnsi="Times New Roman"/>
          <w:i/>
          <w:iCs/>
          <w:sz w:val="22"/>
        </w:rPr>
        <w:t>t-Service</w:t>
      </w:r>
      <w:r>
        <w:rPr>
          <w:rFonts w:ascii="Times New Roman" w:eastAsiaTheme="minorEastAsia" w:hAnsi="Times New Roman"/>
          <w:i/>
          <w:iCs/>
          <w:sz w:val="22"/>
        </w:rPr>
        <w:t xml:space="preserve"> </w:t>
      </w:r>
      <w:r>
        <w:rPr>
          <w:rFonts w:ascii="Times New Roman" w:eastAsiaTheme="minorEastAsia" w:hAnsi="Times New Roman"/>
          <w:sz w:val="22"/>
        </w:rPr>
        <w:t>by only updating the field description.</w:t>
      </w:r>
    </w:p>
    <w:p w14:paraId="23CDF435" w14:textId="51354E07" w:rsidR="0078580D" w:rsidRDefault="00E16ECE" w:rsidP="0084158A">
      <w:pPr>
        <w:rPr>
          <w:rFonts w:ascii="Times New Roman" w:eastAsiaTheme="minorEastAsia" w:hAnsi="Times New Roman"/>
          <w:sz w:val="22"/>
        </w:rPr>
      </w:pPr>
      <w:r>
        <w:rPr>
          <w:rFonts w:ascii="Times New Roman" w:eastAsiaTheme="minorEastAsia" w:hAnsi="Times New Roman"/>
          <w:sz w:val="22"/>
        </w:rPr>
        <w:t>The situation</w:t>
      </w:r>
      <w:r w:rsidR="0078580D">
        <w:rPr>
          <w:rFonts w:ascii="Times New Roman" w:eastAsiaTheme="minorEastAsia" w:hAnsi="Times New Roman"/>
          <w:sz w:val="22"/>
        </w:rPr>
        <w:t>s</w:t>
      </w:r>
      <w:r>
        <w:rPr>
          <w:rFonts w:ascii="Times New Roman" w:eastAsiaTheme="minorEastAsia" w:hAnsi="Times New Roman"/>
          <w:sz w:val="22"/>
        </w:rPr>
        <w:t xml:space="preserve"> </w:t>
      </w:r>
      <w:r w:rsidR="0078580D">
        <w:rPr>
          <w:rFonts w:ascii="Times New Roman" w:eastAsiaTheme="minorEastAsia" w:hAnsi="Times New Roman"/>
          <w:sz w:val="22"/>
        </w:rPr>
        <w:t>are</w:t>
      </w:r>
      <w:r>
        <w:rPr>
          <w:rFonts w:ascii="Times New Roman" w:eastAsiaTheme="minorEastAsia" w:hAnsi="Times New Roman"/>
          <w:sz w:val="22"/>
        </w:rPr>
        <w:t xml:space="preserve"> a bit different for </w:t>
      </w:r>
      <w:r w:rsidRPr="00E16ECE">
        <w:rPr>
          <w:rFonts w:ascii="Times New Roman" w:eastAsiaTheme="minorEastAsia" w:hAnsi="Times New Roman"/>
          <w:sz w:val="22"/>
        </w:rPr>
        <w:t xml:space="preserve">quasi-earth-fixed </w:t>
      </w:r>
      <w:r>
        <w:rPr>
          <w:rFonts w:ascii="Times New Roman" w:eastAsiaTheme="minorEastAsia" w:hAnsi="Times New Roman"/>
          <w:sz w:val="22"/>
        </w:rPr>
        <w:t xml:space="preserve">and earth-moving cells. In </w:t>
      </w:r>
      <w:r w:rsidRPr="00E16ECE">
        <w:rPr>
          <w:rFonts w:ascii="Times New Roman" w:eastAsiaTheme="minorEastAsia" w:hAnsi="Times New Roman"/>
          <w:sz w:val="22"/>
        </w:rPr>
        <w:t>quasi-earth-fixed cells, cell stop serving time and feeder link switch time are both cell-specific</w:t>
      </w:r>
      <w:r>
        <w:rPr>
          <w:rFonts w:ascii="Times New Roman" w:eastAsiaTheme="minorEastAsia" w:hAnsi="Times New Roman"/>
          <w:sz w:val="22"/>
        </w:rPr>
        <w:t xml:space="preserve"> (i.e. common for all UEs in the same serving cell), and only one parameter is sufficient as </w:t>
      </w:r>
      <w:r w:rsidRPr="00E16ECE">
        <w:rPr>
          <w:rFonts w:ascii="Times New Roman" w:eastAsiaTheme="minorEastAsia" w:hAnsi="Times New Roman"/>
          <w:sz w:val="22"/>
        </w:rPr>
        <w:t>network can configure</w:t>
      </w:r>
      <w:r>
        <w:rPr>
          <w:rFonts w:ascii="Times New Roman" w:eastAsiaTheme="minorEastAsia" w:hAnsi="Times New Roman"/>
          <w:sz w:val="22"/>
        </w:rPr>
        <w:t xml:space="preserve"> the value of</w:t>
      </w:r>
      <w:r w:rsidRPr="00E16ECE">
        <w:rPr>
          <w:rFonts w:ascii="Times New Roman" w:eastAsiaTheme="minorEastAsia" w:hAnsi="Times New Roman"/>
          <w:sz w:val="22"/>
        </w:rPr>
        <w:t xml:space="preserve"> </w:t>
      </w:r>
      <w:r w:rsidRPr="00E16ECE">
        <w:rPr>
          <w:rFonts w:ascii="Times New Roman" w:eastAsiaTheme="minorEastAsia" w:hAnsi="Times New Roman"/>
          <w:i/>
          <w:iCs/>
          <w:sz w:val="22"/>
        </w:rPr>
        <w:t>t-Service</w:t>
      </w:r>
      <w:r w:rsidRPr="00E16ECE">
        <w:rPr>
          <w:rFonts w:ascii="Times New Roman" w:eastAsiaTheme="minorEastAsia" w:hAnsi="Times New Roman"/>
          <w:sz w:val="22"/>
        </w:rPr>
        <w:t xml:space="preserve"> as the earlier one</w:t>
      </w:r>
      <w:r>
        <w:rPr>
          <w:rFonts w:ascii="Times New Roman" w:eastAsiaTheme="minorEastAsia" w:hAnsi="Times New Roman"/>
          <w:sz w:val="22"/>
        </w:rPr>
        <w:t xml:space="preserve"> between </w:t>
      </w:r>
      <w:r w:rsidR="0078580D" w:rsidRPr="00E16ECE">
        <w:rPr>
          <w:rFonts w:ascii="Times New Roman" w:eastAsiaTheme="minorEastAsia" w:hAnsi="Times New Roman"/>
          <w:sz w:val="22"/>
        </w:rPr>
        <w:t>cell stop serving time and feeder link switch time</w:t>
      </w:r>
      <w:r w:rsidR="0078580D">
        <w:rPr>
          <w:rFonts w:ascii="Times New Roman" w:eastAsiaTheme="minorEastAsia" w:hAnsi="Times New Roman"/>
          <w:sz w:val="22"/>
        </w:rPr>
        <w:t>. F</w:t>
      </w:r>
      <w:r w:rsidR="0078580D" w:rsidRPr="00E16ECE">
        <w:rPr>
          <w:rFonts w:ascii="Times New Roman" w:eastAsiaTheme="minorEastAsia" w:hAnsi="Times New Roman"/>
          <w:sz w:val="22"/>
        </w:rPr>
        <w:t>or earth-moving cells</w:t>
      </w:r>
      <w:r w:rsidR="0078580D">
        <w:rPr>
          <w:rFonts w:ascii="Times New Roman" w:eastAsiaTheme="minorEastAsia" w:hAnsi="Times New Roman"/>
          <w:sz w:val="22"/>
        </w:rPr>
        <w:t xml:space="preserve">, </w:t>
      </w:r>
      <w:r w:rsidR="0078580D" w:rsidRPr="00E16ECE">
        <w:rPr>
          <w:rFonts w:ascii="Times New Roman" w:eastAsiaTheme="minorEastAsia" w:hAnsi="Times New Roman"/>
          <w:sz w:val="22"/>
        </w:rPr>
        <w:t>cell stop serving time is UE/location-specific while feeder link switch is cell-specific</w:t>
      </w:r>
      <w:r w:rsidR="0078580D">
        <w:rPr>
          <w:rFonts w:ascii="Times New Roman" w:eastAsiaTheme="minorEastAsia" w:hAnsi="Times New Roman"/>
          <w:sz w:val="22"/>
        </w:rPr>
        <w:t xml:space="preserve">, and the network may not determine which one is earlier for a UE/location. </w:t>
      </w:r>
      <w:r w:rsidR="0078580D">
        <w:rPr>
          <w:rFonts w:ascii="Times New Roman" w:eastAsiaTheme="minorEastAsia" w:hAnsi="Times New Roman" w:hint="eastAsia"/>
          <w:sz w:val="22"/>
        </w:rPr>
        <w:t>F</w:t>
      </w:r>
      <w:r w:rsidR="0078580D">
        <w:rPr>
          <w:rFonts w:ascii="Times New Roman" w:eastAsiaTheme="minorEastAsia" w:hAnsi="Times New Roman"/>
          <w:sz w:val="22"/>
        </w:rPr>
        <w:t>rom specification perspective, the following 2 options are workable:</w:t>
      </w:r>
    </w:p>
    <w:p w14:paraId="638F6F61" w14:textId="52A47CF2" w:rsidR="0078580D" w:rsidRPr="0078580D" w:rsidRDefault="0078580D" w:rsidP="0084158A">
      <w:pPr>
        <w:pStyle w:val="a6"/>
        <w:numPr>
          <w:ilvl w:val="0"/>
          <w:numId w:val="20"/>
        </w:numPr>
        <w:spacing w:after="0"/>
        <w:ind w:left="442" w:firstLineChars="0" w:hanging="442"/>
        <w:jc w:val="both"/>
        <w:rPr>
          <w:rFonts w:eastAsiaTheme="minorEastAsia"/>
          <w:sz w:val="22"/>
        </w:rPr>
      </w:pPr>
      <w:r w:rsidRPr="0078580D">
        <w:rPr>
          <w:rFonts w:eastAsiaTheme="minorEastAsia"/>
          <w:sz w:val="22"/>
        </w:rPr>
        <w:t>Option A</w:t>
      </w:r>
      <w:r>
        <w:rPr>
          <w:rFonts w:eastAsiaTheme="minorEastAsia"/>
          <w:sz w:val="22"/>
        </w:rPr>
        <w:t>)</w:t>
      </w:r>
      <w:r w:rsidRPr="0078580D">
        <w:rPr>
          <w:rFonts w:eastAsiaTheme="minorEastAsia"/>
          <w:sz w:val="22"/>
        </w:rPr>
        <w:t xml:space="preserve">: Feeder link switch time of an earth-moving cell is indicated by a new IE (e.g., </w:t>
      </w:r>
      <w:r w:rsidRPr="0078580D">
        <w:rPr>
          <w:rFonts w:eastAsiaTheme="minorEastAsia"/>
          <w:i/>
          <w:iCs/>
          <w:sz w:val="22"/>
        </w:rPr>
        <w:t>t-FeederLinkSwitch</w:t>
      </w:r>
      <w:r w:rsidRPr="0078580D">
        <w:rPr>
          <w:rFonts w:eastAsiaTheme="minorEastAsia"/>
          <w:sz w:val="22"/>
        </w:rPr>
        <w:t xml:space="preserve">), while </w:t>
      </w:r>
      <w:r w:rsidRPr="0078580D">
        <w:rPr>
          <w:rFonts w:eastAsiaTheme="minorEastAsia"/>
          <w:i/>
          <w:iCs/>
          <w:sz w:val="22"/>
        </w:rPr>
        <w:t>t-Service</w:t>
      </w:r>
      <w:r w:rsidRPr="0078580D">
        <w:rPr>
          <w:rFonts w:eastAsiaTheme="minorEastAsia"/>
          <w:sz w:val="22"/>
        </w:rPr>
        <w:t xml:space="preserve"> is still used to indicate cell stop serving time at specific locations</w:t>
      </w:r>
      <w:r w:rsidR="002744AB">
        <w:rPr>
          <w:rFonts w:eastAsiaTheme="minorEastAsia"/>
          <w:sz w:val="22"/>
        </w:rPr>
        <w:t xml:space="preserve"> or absent</w:t>
      </w:r>
      <w:r w:rsidRPr="0078580D">
        <w:rPr>
          <w:rFonts w:eastAsiaTheme="minorEastAsia"/>
          <w:sz w:val="22"/>
        </w:rPr>
        <w:t>.</w:t>
      </w:r>
    </w:p>
    <w:p w14:paraId="27733E99" w14:textId="37832360" w:rsidR="00E16ECE" w:rsidRPr="0078580D" w:rsidRDefault="0078580D" w:rsidP="0084158A">
      <w:pPr>
        <w:pStyle w:val="a6"/>
        <w:numPr>
          <w:ilvl w:val="0"/>
          <w:numId w:val="20"/>
        </w:numPr>
        <w:spacing w:after="0"/>
        <w:ind w:left="442" w:firstLineChars="0" w:hanging="442"/>
        <w:jc w:val="both"/>
        <w:rPr>
          <w:rFonts w:eastAsiaTheme="minorEastAsia"/>
          <w:sz w:val="22"/>
          <w:lang w:val="en-US"/>
        </w:rPr>
      </w:pPr>
      <w:r w:rsidRPr="0078580D">
        <w:rPr>
          <w:rFonts w:eastAsiaTheme="minorEastAsia"/>
          <w:sz w:val="22"/>
        </w:rPr>
        <w:t>Option B</w:t>
      </w:r>
      <w:r>
        <w:rPr>
          <w:rFonts w:eastAsiaTheme="minorEastAsia"/>
          <w:sz w:val="22"/>
        </w:rPr>
        <w:t>)</w:t>
      </w:r>
      <w:r w:rsidRPr="0078580D">
        <w:rPr>
          <w:rFonts w:eastAsiaTheme="minorEastAsia"/>
          <w:sz w:val="22"/>
        </w:rPr>
        <w:t xml:space="preserve">: Feeder link switch time of an earth-moving cell is indicated by </w:t>
      </w:r>
      <w:r w:rsidRPr="0078580D">
        <w:rPr>
          <w:rFonts w:eastAsiaTheme="minorEastAsia"/>
          <w:i/>
          <w:iCs/>
          <w:sz w:val="22"/>
        </w:rPr>
        <w:t>t-Service</w:t>
      </w:r>
      <w:r w:rsidRPr="0078580D">
        <w:rPr>
          <w:rFonts w:eastAsiaTheme="minorEastAsia"/>
          <w:sz w:val="22"/>
        </w:rPr>
        <w:t>, while cell stop serving time is derived by UE.</w:t>
      </w:r>
    </w:p>
    <w:p w14:paraId="2D70D069" w14:textId="3DF683DD" w:rsidR="00575656" w:rsidRPr="00575656" w:rsidRDefault="00575656" w:rsidP="00575656">
      <w:pPr>
        <w:rPr>
          <w:rFonts w:ascii="Times New Roman" w:hAnsi="Times New Roman"/>
          <w:b/>
          <w:bCs/>
          <w:sz w:val="22"/>
        </w:rPr>
      </w:pPr>
      <w:r w:rsidRPr="00575656">
        <w:rPr>
          <w:rFonts w:ascii="Times New Roman" w:hAnsi="Times New Roman"/>
          <w:b/>
          <w:bCs/>
          <w:sz w:val="22"/>
        </w:rPr>
        <w:t xml:space="preserve">Observation 1: In </w:t>
      </w:r>
      <w:r w:rsidRPr="00575656">
        <w:rPr>
          <w:rFonts w:ascii="Times New Roman" w:eastAsiaTheme="minorEastAsia" w:hAnsi="Times New Roman"/>
          <w:b/>
          <w:bCs/>
          <w:sz w:val="22"/>
        </w:rPr>
        <w:t>earth-moving cells wherein cell stop serving time is UE/location-specific while feeder link switch is cell-specific</w:t>
      </w:r>
      <w:r w:rsidRPr="00575656">
        <w:rPr>
          <w:rFonts w:ascii="Times New Roman" w:hAnsi="Times New Roman"/>
          <w:b/>
          <w:bCs/>
          <w:sz w:val="22"/>
        </w:rPr>
        <w:t xml:space="preserve">, it could be unclear to use one parameter to indicate two possible </w:t>
      </w:r>
      <w:r w:rsidRPr="00575656">
        <w:rPr>
          <w:rFonts w:ascii="Times New Roman" w:hAnsi="Times New Roman" w:hint="eastAsia"/>
          <w:b/>
          <w:bCs/>
          <w:sz w:val="22"/>
        </w:rPr>
        <w:t>variables</w:t>
      </w:r>
      <w:r w:rsidRPr="00575656">
        <w:rPr>
          <w:rFonts w:ascii="Times New Roman" w:hAnsi="Times New Roman"/>
          <w:b/>
          <w:bCs/>
          <w:sz w:val="22"/>
        </w:rPr>
        <w:t>.</w:t>
      </w:r>
    </w:p>
    <w:p w14:paraId="5E1FFA2C" w14:textId="072122D9" w:rsidR="0078580D" w:rsidRDefault="002744AB" w:rsidP="000E512C">
      <w:pPr>
        <w:rPr>
          <w:rFonts w:ascii="Times New Roman" w:eastAsiaTheme="minorEastAsia" w:hAnsi="Times New Roman"/>
          <w:sz w:val="22"/>
        </w:rPr>
      </w:pPr>
      <w:r>
        <w:rPr>
          <w:rFonts w:ascii="Times New Roman" w:eastAsiaTheme="minorEastAsia" w:hAnsi="Times New Roman"/>
          <w:sz w:val="22"/>
        </w:rPr>
        <w:t xml:space="preserve">To make the descriptions clear and avoid possible confusion in future (e.g., in case </w:t>
      </w:r>
      <w:r w:rsidRPr="00E16ECE">
        <w:rPr>
          <w:rFonts w:ascii="Times New Roman" w:eastAsiaTheme="minorEastAsia" w:hAnsi="Times New Roman"/>
          <w:sz w:val="22"/>
        </w:rPr>
        <w:t>cell stop serving time and feeder link switch time</w:t>
      </w:r>
      <w:r>
        <w:rPr>
          <w:rFonts w:ascii="Times New Roman" w:eastAsiaTheme="minorEastAsia" w:hAnsi="Times New Roman"/>
          <w:sz w:val="22"/>
        </w:rPr>
        <w:t xml:space="preserve"> need to be treated separately), Option A) is preferred. In this case for </w:t>
      </w:r>
      <w:r w:rsidRPr="00E16ECE">
        <w:rPr>
          <w:rFonts w:ascii="Times New Roman" w:eastAsiaTheme="minorEastAsia" w:hAnsi="Times New Roman"/>
          <w:sz w:val="22"/>
        </w:rPr>
        <w:t>quasi-earth-fixed</w:t>
      </w:r>
      <w:r>
        <w:rPr>
          <w:rFonts w:ascii="Times New Roman" w:eastAsiaTheme="minorEastAsia" w:hAnsi="Times New Roman"/>
          <w:sz w:val="22"/>
        </w:rPr>
        <w:t xml:space="preserve"> cells, network can determine which one to be provided; and for </w:t>
      </w:r>
      <w:r w:rsidRPr="00E16ECE">
        <w:rPr>
          <w:rFonts w:ascii="Times New Roman" w:eastAsiaTheme="minorEastAsia" w:hAnsi="Times New Roman"/>
          <w:sz w:val="22"/>
        </w:rPr>
        <w:t>earth-moving cells</w:t>
      </w:r>
      <w:r>
        <w:rPr>
          <w:rFonts w:ascii="Times New Roman" w:eastAsiaTheme="minorEastAsia" w:hAnsi="Times New Roman"/>
          <w:sz w:val="22"/>
        </w:rPr>
        <w:t>, network provides feeder link switch time as one of the reference time before which neighbour cell measurement shall be initiated.</w:t>
      </w:r>
    </w:p>
    <w:p w14:paraId="28339282" w14:textId="66C82A15" w:rsidR="002744AB" w:rsidRPr="002744AB" w:rsidRDefault="002744AB" w:rsidP="000E512C">
      <w:pPr>
        <w:rPr>
          <w:rFonts w:ascii="Times New Roman" w:eastAsiaTheme="minorEastAsia" w:hAnsi="Times New Roman"/>
          <w:b/>
          <w:bCs/>
          <w:sz w:val="22"/>
        </w:rPr>
      </w:pPr>
      <w:r w:rsidRPr="002744AB">
        <w:rPr>
          <w:rFonts w:ascii="Times New Roman" w:eastAsiaTheme="minorEastAsia" w:hAnsi="Times New Roman" w:hint="eastAsia"/>
          <w:b/>
          <w:bCs/>
          <w:sz w:val="22"/>
        </w:rPr>
        <w:t>P</w:t>
      </w:r>
      <w:r w:rsidRPr="002744AB">
        <w:rPr>
          <w:rFonts w:ascii="Times New Roman" w:eastAsiaTheme="minorEastAsia" w:hAnsi="Times New Roman"/>
          <w:b/>
          <w:bCs/>
          <w:sz w:val="22"/>
        </w:rPr>
        <w:t>roposal 1: A new optional IE is introduced to indicate the feeder link switch time for NTN cells.</w:t>
      </w:r>
    </w:p>
    <w:p w14:paraId="7FA4823F" w14:textId="154EEDA6" w:rsidR="000E512C" w:rsidRPr="00C34317" w:rsidRDefault="000E512C" w:rsidP="000E512C">
      <w:pPr>
        <w:rPr>
          <w:rFonts w:ascii="Times New Roman" w:eastAsiaTheme="minorEastAsia" w:hAnsi="Times New Roman"/>
          <w:sz w:val="22"/>
        </w:rPr>
      </w:pPr>
      <w:r w:rsidRPr="00C34317">
        <w:rPr>
          <w:rFonts w:ascii="Times New Roman" w:eastAsiaTheme="minorEastAsia" w:hAnsi="Times New Roman"/>
          <w:sz w:val="22"/>
        </w:rPr>
        <w:t xml:space="preserve">In Rel-17 NR NTN, reference location </w:t>
      </w:r>
      <w:r w:rsidRPr="00C34317">
        <w:rPr>
          <w:rFonts w:ascii="Times New Roman" w:eastAsiaTheme="minorEastAsia" w:hAnsi="Times New Roman"/>
          <w:i/>
          <w:iCs/>
          <w:sz w:val="22"/>
        </w:rPr>
        <w:t>referenceLocation</w:t>
      </w:r>
      <w:r w:rsidRPr="00C34317">
        <w:rPr>
          <w:rFonts w:ascii="Times New Roman" w:eastAsiaTheme="minorEastAsia" w:hAnsi="Times New Roman"/>
          <w:sz w:val="22"/>
        </w:rPr>
        <w:t xml:space="preserve"> of serving cell is broadcast in SIB19, which is fixed for a quasi-earth-fixed cell during before its stop serving time. For an earth-moving cell with varying </w:t>
      </w:r>
      <w:r w:rsidRPr="00C34317">
        <w:rPr>
          <w:rFonts w:ascii="Times New Roman" w:eastAsiaTheme="minorEastAsia" w:hAnsi="Times New Roman"/>
          <w:i/>
          <w:iCs/>
          <w:sz w:val="22"/>
        </w:rPr>
        <w:t>referenceLocation</w:t>
      </w:r>
      <w:r w:rsidRPr="00C34317">
        <w:rPr>
          <w:rFonts w:ascii="Times New Roman" w:eastAsiaTheme="minorEastAsia" w:hAnsi="Times New Roman"/>
          <w:sz w:val="22"/>
        </w:rPr>
        <w:t xml:space="preserve"> over time, frequent UE re-acquiring (e.g., triggered by SI change) will cause more power consumption. It could likely be similar to the ephemeris handling in Rel-17 NTN wherein no SI change is triggered by ephemeris change. Therefore an issue arises as how to indicate the moving </w:t>
      </w:r>
      <w:r w:rsidRPr="00C34317">
        <w:rPr>
          <w:rFonts w:ascii="Times New Roman" w:eastAsiaTheme="minorEastAsia" w:hAnsi="Times New Roman"/>
          <w:i/>
          <w:iCs/>
          <w:sz w:val="22"/>
        </w:rPr>
        <w:t>referenceLocation</w:t>
      </w:r>
      <w:r w:rsidRPr="00C34317">
        <w:rPr>
          <w:rFonts w:ascii="Times New Roman" w:eastAsiaTheme="minorEastAsia" w:hAnsi="Times New Roman"/>
          <w:sz w:val="22"/>
        </w:rPr>
        <w:t xml:space="preserve"> of an earth-moving cell to the UE.</w:t>
      </w:r>
    </w:p>
    <w:p w14:paraId="1AAD72B1" w14:textId="781AD2FA" w:rsidR="007F5296" w:rsidRPr="007F5296" w:rsidRDefault="007F5296" w:rsidP="007F5296">
      <w:pPr>
        <w:rPr>
          <w:rFonts w:ascii="Times New Roman" w:hAnsi="Times New Roman"/>
          <w:sz w:val="22"/>
        </w:rPr>
      </w:pPr>
      <w:r w:rsidRPr="007F5296">
        <w:rPr>
          <w:rFonts w:ascii="Times New Roman" w:hAnsi="Times New Roman" w:hint="eastAsia"/>
          <w:sz w:val="22"/>
        </w:rPr>
        <w:t>I</w:t>
      </w:r>
      <w:r w:rsidRPr="007F5296">
        <w:rPr>
          <w:rFonts w:ascii="Times New Roman" w:hAnsi="Times New Roman"/>
          <w:sz w:val="22"/>
        </w:rPr>
        <w:t xml:space="preserve">n the discussion </w:t>
      </w:r>
      <w:r w:rsidR="009F1E58">
        <w:rPr>
          <w:rFonts w:ascii="Times New Roman" w:hAnsi="Times New Roman"/>
          <w:sz w:val="22"/>
        </w:rPr>
        <w:t>one agreement</w:t>
      </w:r>
      <w:r w:rsidRPr="007F5296">
        <w:rPr>
          <w:rFonts w:ascii="Times New Roman" w:hAnsi="Times New Roman"/>
          <w:sz w:val="22"/>
        </w:rPr>
        <w:t xml:space="preserve"> is that the trajectory of serving cell reference location can be derived by UE </w:t>
      </w:r>
      <w:r w:rsidR="009F1E58" w:rsidRPr="009F1E58">
        <w:rPr>
          <w:rFonts w:ascii="Times New Roman" w:hAnsi="Times New Roman"/>
          <w:sz w:val="22"/>
        </w:rPr>
        <w:t xml:space="preserve">with rough accuracy </w:t>
      </w:r>
      <w:r w:rsidRPr="007F5296">
        <w:rPr>
          <w:rFonts w:ascii="Times New Roman" w:hAnsi="Times New Roman"/>
          <w:sz w:val="22"/>
        </w:rPr>
        <w:t xml:space="preserve">solely based on satellite’s ephemeris and epoch time. In our understanding, </w:t>
      </w:r>
      <w:r w:rsidR="009F1E58">
        <w:rPr>
          <w:rFonts w:ascii="Times New Roman" w:hAnsi="Times New Roman"/>
          <w:sz w:val="22"/>
        </w:rPr>
        <w:t>such accuracy is uncertain and meanwhile more calculation needs to be done at UE</w:t>
      </w:r>
      <w:r w:rsidRPr="007F5296">
        <w:rPr>
          <w:rFonts w:ascii="Times New Roman" w:hAnsi="Times New Roman"/>
          <w:sz w:val="22"/>
        </w:rPr>
        <w:t xml:space="preserve">, </w:t>
      </w:r>
      <w:r w:rsidRPr="007F5296">
        <w:rPr>
          <w:rFonts w:ascii="Times New Roman" w:hAnsi="Times New Roman" w:hint="eastAsia"/>
          <w:sz w:val="22"/>
        </w:rPr>
        <w:t>see</w:t>
      </w:r>
      <w:r w:rsidRPr="007F5296">
        <w:rPr>
          <w:rFonts w:ascii="Times New Roman" w:hAnsi="Times New Roman"/>
          <w:sz w:val="22"/>
        </w:rPr>
        <w:t xml:space="preserve"> </w:t>
      </w:r>
      <w:r w:rsidRPr="007F5296">
        <w:rPr>
          <w:rFonts w:ascii="Times New Roman" w:hAnsi="Times New Roman" w:hint="eastAsia"/>
          <w:sz w:val="22"/>
        </w:rPr>
        <w:t>in</w:t>
      </w:r>
      <w:r w:rsidRPr="007F5296">
        <w:rPr>
          <w:rFonts w:ascii="Times New Roman" w:hAnsi="Times New Roman"/>
          <w:sz w:val="22"/>
        </w:rPr>
        <w:t xml:space="preserve"> </w:t>
      </w:r>
      <w:r w:rsidRPr="007F5296">
        <w:rPr>
          <w:rFonts w:ascii="Times New Roman" w:hAnsi="Times New Roman" w:hint="eastAsia"/>
          <w:sz w:val="22"/>
        </w:rPr>
        <w:t>Figure</w:t>
      </w:r>
      <w:r w:rsidRPr="007F5296">
        <w:rPr>
          <w:rFonts w:ascii="Times New Roman" w:hAnsi="Times New Roman"/>
          <w:sz w:val="22"/>
        </w:rPr>
        <w:t xml:space="preserve"> 1. Firstly, the trajectory of satellite represented by ephemeris is an ellipse which is not parallel to the earth, meaning that the velocity of satellite does not equal to the velocity of its projection (e.g., cell reference location) on earth. Secondly, even the projection is derived, it only represents the nadir point of the satellite which could be the reference location of one cell, while the reference locations of the other cells generated by the same satellite could not be represented or derived, e.g., the elevation angle between the reference location of a cell and the satellite, which is not part of ephemeris, also affects the velocity of the cell reference location.</w:t>
      </w:r>
    </w:p>
    <w:p w14:paraId="0B15B8FC" w14:textId="77777777" w:rsidR="007F5296" w:rsidRPr="007F5296" w:rsidRDefault="007F5296" w:rsidP="007F5296">
      <w:pPr>
        <w:jc w:val="center"/>
        <w:rPr>
          <w:rFonts w:ascii="Times New Roman" w:hAnsi="Times New Roman"/>
          <w:sz w:val="22"/>
        </w:rPr>
      </w:pPr>
      <w:r w:rsidRPr="007F5296">
        <w:rPr>
          <w:rFonts w:ascii="Times New Roman" w:hAnsi="Times New Roman"/>
          <w:noProof/>
          <w:sz w:val="22"/>
        </w:rPr>
        <w:lastRenderedPageBreak/>
        <w:drawing>
          <wp:inline distT="0" distB="0" distL="0" distR="0" wp14:anchorId="3A122A97" wp14:editId="65F8BC8B">
            <wp:extent cx="2581387" cy="2415654"/>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092" cy="2423800"/>
                    </a:xfrm>
                    <a:prstGeom prst="rect">
                      <a:avLst/>
                    </a:prstGeom>
                    <a:noFill/>
                  </pic:spPr>
                </pic:pic>
              </a:graphicData>
            </a:graphic>
          </wp:inline>
        </w:drawing>
      </w:r>
    </w:p>
    <w:p w14:paraId="5B66565D" w14:textId="77777777" w:rsidR="007F5296" w:rsidRPr="007F5296" w:rsidRDefault="007F5296" w:rsidP="007F5296">
      <w:pPr>
        <w:jc w:val="center"/>
        <w:rPr>
          <w:rFonts w:ascii="Times New Roman" w:hAnsi="Times New Roman"/>
          <w:sz w:val="22"/>
        </w:rPr>
      </w:pPr>
      <w:r w:rsidRPr="007F5296">
        <w:rPr>
          <w:rFonts w:ascii="Times New Roman" w:hAnsi="Times New Roman" w:hint="eastAsia"/>
          <w:sz w:val="22"/>
        </w:rPr>
        <w:t>F</w:t>
      </w:r>
      <w:r w:rsidRPr="007F5296">
        <w:rPr>
          <w:rFonts w:ascii="Times New Roman" w:hAnsi="Times New Roman"/>
          <w:sz w:val="22"/>
        </w:rPr>
        <w:t>igure 1. The trajectory of satellite and cell reference location</w:t>
      </w:r>
    </w:p>
    <w:p w14:paraId="6BEE8FDE" w14:textId="573E0418" w:rsidR="007F5296" w:rsidRPr="007F5296" w:rsidRDefault="007F5296" w:rsidP="007F5296">
      <w:pPr>
        <w:rPr>
          <w:rFonts w:ascii="Times New Roman" w:hAnsi="Times New Roman"/>
          <w:b/>
          <w:bCs/>
          <w:sz w:val="22"/>
        </w:rPr>
      </w:pPr>
      <w:r w:rsidRPr="007F5296">
        <w:rPr>
          <w:rFonts w:ascii="Times New Roman" w:hAnsi="Times New Roman"/>
          <w:b/>
          <w:bCs/>
          <w:sz w:val="22"/>
        </w:rPr>
        <w:t xml:space="preserve">Observation </w:t>
      </w:r>
      <w:r w:rsidR="00575656">
        <w:rPr>
          <w:rFonts w:ascii="Times New Roman" w:hAnsi="Times New Roman"/>
          <w:b/>
          <w:bCs/>
          <w:sz w:val="22"/>
        </w:rPr>
        <w:t>2</w:t>
      </w:r>
      <w:r w:rsidRPr="007F5296">
        <w:rPr>
          <w:rFonts w:ascii="Times New Roman" w:hAnsi="Times New Roman"/>
          <w:b/>
          <w:bCs/>
          <w:sz w:val="22"/>
        </w:rPr>
        <w:t xml:space="preserve">: </w:t>
      </w:r>
      <w:r w:rsidR="009F1E58">
        <w:rPr>
          <w:rFonts w:ascii="Times New Roman" w:hAnsi="Times New Roman"/>
          <w:b/>
          <w:bCs/>
          <w:sz w:val="22"/>
        </w:rPr>
        <w:t>D</w:t>
      </w:r>
      <w:r w:rsidRPr="007F5296">
        <w:rPr>
          <w:rFonts w:ascii="Times New Roman" w:hAnsi="Times New Roman"/>
          <w:b/>
          <w:bCs/>
          <w:sz w:val="22"/>
        </w:rPr>
        <w:t>eriv</w:t>
      </w:r>
      <w:r w:rsidR="009F1E58">
        <w:rPr>
          <w:rFonts w:ascii="Times New Roman" w:hAnsi="Times New Roman"/>
          <w:b/>
          <w:bCs/>
          <w:sz w:val="22"/>
        </w:rPr>
        <w:t>ing</w:t>
      </w:r>
      <w:r w:rsidRPr="007F5296">
        <w:rPr>
          <w:rFonts w:ascii="Times New Roman" w:hAnsi="Times New Roman"/>
          <w:b/>
          <w:bCs/>
          <w:sz w:val="22"/>
        </w:rPr>
        <w:t xml:space="preserve"> the reference location of an Earth-moving cell only by the ephemeris data</w:t>
      </w:r>
      <w:r w:rsidR="009F1E58">
        <w:rPr>
          <w:rFonts w:ascii="Times New Roman" w:hAnsi="Times New Roman"/>
          <w:b/>
          <w:bCs/>
          <w:sz w:val="22"/>
        </w:rPr>
        <w:t xml:space="preserve"> at epoch time has uncertainty in accuracy and introduces more power consumption for UE’s calculation</w:t>
      </w:r>
      <w:r w:rsidRPr="007F5296">
        <w:rPr>
          <w:rFonts w:ascii="Times New Roman" w:hAnsi="Times New Roman"/>
          <w:b/>
          <w:bCs/>
          <w:sz w:val="22"/>
        </w:rPr>
        <w:t>.</w:t>
      </w:r>
    </w:p>
    <w:p w14:paraId="585C5F25" w14:textId="5790B768" w:rsidR="000E512C" w:rsidRPr="00575656" w:rsidRDefault="00C971E3" w:rsidP="00575656">
      <w:pPr>
        <w:rPr>
          <w:rFonts w:ascii="Times New Roman" w:hAnsi="Times New Roman"/>
          <w:sz w:val="22"/>
        </w:rPr>
      </w:pPr>
      <w:r>
        <w:rPr>
          <w:rFonts w:ascii="Times New Roman" w:hAnsi="Times New Roman" w:hint="eastAsia"/>
          <w:sz w:val="22"/>
        </w:rPr>
        <w:t>M</w:t>
      </w:r>
      <w:r>
        <w:rPr>
          <w:rFonts w:ascii="Times New Roman" w:hAnsi="Times New Roman"/>
          <w:sz w:val="22"/>
        </w:rPr>
        <w:t>eanwhile, it has also been agreed that a new IE</w:t>
      </w:r>
      <w:r w:rsidRPr="00C971E3">
        <w:rPr>
          <w:rFonts w:ascii="Times New Roman" w:hAnsi="Times New Roman"/>
          <w:sz w:val="22"/>
        </w:rPr>
        <w:t xml:space="preserve"> is introduced to indicate the reference location of serving cell</w:t>
      </w:r>
      <w:r w:rsidR="00EC4011">
        <w:rPr>
          <w:rFonts w:ascii="Times New Roman" w:hAnsi="Times New Roman"/>
          <w:sz w:val="22"/>
        </w:rPr>
        <w:t>, which allows more space in content design to</w:t>
      </w:r>
      <w:r>
        <w:rPr>
          <w:rFonts w:ascii="Times New Roman" w:hAnsi="Times New Roman"/>
          <w:sz w:val="22"/>
        </w:rPr>
        <w:t xml:space="preserve"> improve the accuracy and ease UE’s power consumption for calculation</w:t>
      </w:r>
      <w:r w:rsidR="00EC4011">
        <w:rPr>
          <w:rFonts w:ascii="Times New Roman" w:hAnsi="Times New Roman"/>
          <w:sz w:val="22"/>
        </w:rPr>
        <w:t xml:space="preserve">. </w:t>
      </w:r>
      <w:r w:rsidR="00575656">
        <w:rPr>
          <w:rFonts w:ascii="Times New Roman" w:hAnsi="Times New Roman"/>
          <w:sz w:val="22"/>
        </w:rPr>
        <w:t>Therefore a</w:t>
      </w:r>
      <w:r w:rsidR="000E512C" w:rsidRPr="00575656">
        <w:rPr>
          <w:rFonts w:ascii="Times New Roman" w:hAnsi="Times New Roman"/>
          <w:sz w:val="22"/>
        </w:rPr>
        <w:t>dditional change information, e.g., drift or velocity vector of</w:t>
      </w:r>
      <w:r w:rsidR="00575656">
        <w:rPr>
          <w:rFonts w:ascii="Times New Roman" w:hAnsi="Times New Roman"/>
          <w:sz w:val="22"/>
        </w:rPr>
        <w:t xml:space="preserve"> the</w:t>
      </w:r>
      <w:r w:rsidR="000E512C" w:rsidRPr="00575656">
        <w:rPr>
          <w:rFonts w:ascii="Times New Roman" w:hAnsi="Times New Roman"/>
          <w:sz w:val="22"/>
        </w:rPr>
        <w:t xml:space="preserve"> reference</w:t>
      </w:r>
      <w:r w:rsidR="00575656" w:rsidRPr="00575656">
        <w:rPr>
          <w:rFonts w:ascii="Times New Roman" w:hAnsi="Times New Roman"/>
          <w:sz w:val="22"/>
        </w:rPr>
        <w:t xml:space="preserve"> l</w:t>
      </w:r>
      <w:r w:rsidR="000E512C" w:rsidRPr="00575656">
        <w:rPr>
          <w:rFonts w:ascii="Times New Roman" w:hAnsi="Times New Roman"/>
          <w:sz w:val="22"/>
        </w:rPr>
        <w:t>ocation</w:t>
      </w:r>
      <w:r w:rsidR="00575656" w:rsidRPr="00575656">
        <w:rPr>
          <w:rFonts w:ascii="Times New Roman" w:hAnsi="Times New Roman"/>
          <w:sz w:val="22"/>
        </w:rPr>
        <w:t xml:space="preserve"> </w:t>
      </w:r>
      <w:r w:rsidR="00575656">
        <w:rPr>
          <w:rFonts w:ascii="Times New Roman" w:hAnsi="Times New Roman"/>
          <w:sz w:val="22"/>
        </w:rPr>
        <w:t>can be considered to help</w:t>
      </w:r>
      <w:r w:rsidR="000E512C" w:rsidRPr="00575656">
        <w:rPr>
          <w:rFonts w:ascii="Times New Roman" w:hAnsi="Times New Roman"/>
          <w:sz w:val="22"/>
        </w:rPr>
        <w:t xml:space="preserve"> UE estimate real-time reference location</w:t>
      </w:r>
      <w:r w:rsidR="00575656">
        <w:rPr>
          <w:rFonts w:ascii="Times New Roman" w:hAnsi="Times New Roman"/>
          <w:sz w:val="22"/>
        </w:rPr>
        <w:t xml:space="preserve"> accurately</w:t>
      </w:r>
      <w:r w:rsidR="000E512C" w:rsidRPr="00575656">
        <w:rPr>
          <w:rFonts w:ascii="Times New Roman" w:hAnsi="Times New Roman"/>
          <w:sz w:val="22"/>
        </w:rPr>
        <w:t>.</w:t>
      </w:r>
    </w:p>
    <w:p w14:paraId="46BB58CA" w14:textId="5E64E737" w:rsidR="008E6CC7" w:rsidRPr="00575656" w:rsidRDefault="000E512C" w:rsidP="00575656">
      <w:pPr>
        <w:rPr>
          <w:rFonts w:ascii="Times New Roman" w:hAnsi="Times New Roman"/>
          <w:b/>
          <w:bCs/>
          <w:sz w:val="22"/>
        </w:rPr>
      </w:pPr>
      <w:r w:rsidRPr="00C34317">
        <w:rPr>
          <w:rFonts w:ascii="Times New Roman" w:hAnsi="Times New Roman"/>
          <w:b/>
          <w:bCs/>
          <w:sz w:val="22"/>
        </w:rPr>
        <w:t xml:space="preserve">Proposal </w:t>
      </w:r>
      <w:r w:rsidR="00575656">
        <w:rPr>
          <w:rFonts w:ascii="Times New Roman" w:hAnsi="Times New Roman"/>
          <w:b/>
          <w:bCs/>
          <w:sz w:val="22"/>
        </w:rPr>
        <w:t>2</w:t>
      </w:r>
      <w:r w:rsidRPr="00C34317">
        <w:rPr>
          <w:rFonts w:ascii="Times New Roman" w:hAnsi="Times New Roman"/>
          <w:b/>
          <w:bCs/>
          <w:sz w:val="22"/>
        </w:rPr>
        <w:t xml:space="preserve">: For earth-moving cells, </w:t>
      </w:r>
      <w:r w:rsidR="008E6CC7" w:rsidRPr="00575656">
        <w:rPr>
          <w:rFonts w:ascii="Times New Roman" w:hAnsi="Times New Roman"/>
          <w:b/>
          <w:bCs/>
          <w:sz w:val="22"/>
        </w:rPr>
        <w:t>change information</w:t>
      </w:r>
      <w:r w:rsidR="00575656" w:rsidRPr="00575656">
        <w:rPr>
          <w:rFonts w:ascii="Times New Roman" w:hAnsi="Times New Roman"/>
          <w:b/>
          <w:bCs/>
          <w:sz w:val="22"/>
        </w:rPr>
        <w:t xml:space="preserve"> (</w:t>
      </w:r>
      <w:r w:rsidR="008E6CC7" w:rsidRPr="00575656">
        <w:rPr>
          <w:rFonts w:ascii="Times New Roman" w:hAnsi="Times New Roman"/>
          <w:b/>
          <w:bCs/>
          <w:sz w:val="22"/>
        </w:rPr>
        <w:t>e.g., drift or velocity vector</w:t>
      </w:r>
      <w:r w:rsidR="00575656" w:rsidRPr="00575656">
        <w:rPr>
          <w:rFonts w:ascii="Times New Roman" w:hAnsi="Times New Roman"/>
          <w:b/>
          <w:bCs/>
          <w:sz w:val="22"/>
        </w:rPr>
        <w:t>)</w:t>
      </w:r>
      <w:r w:rsidR="008E6CC7" w:rsidRPr="00575656">
        <w:rPr>
          <w:rFonts w:ascii="Times New Roman" w:hAnsi="Times New Roman"/>
          <w:b/>
          <w:bCs/>
          <w:sz w:val="22"/>
        </w:rPr>
        <w:t xml:space="preserve"> of reference</w:t>
      </w:r>
      <w:r w:rsidR="00575656" w:rsidRPr="00575656">
        <w:rPr>
          <w:rFonts w:ascii="Times New Roman" w:hAnsi="Times New Roman"/>
          <w:b/>
          <w:bCs/>
          <w:sz w:val="22"/>
        </w:rPr>
        <w:t xml:space="preserve"> </w:t>
      </w:r>
      <w:r w:rsidR="008E6CC7" w:rsidRPr="00575656">
        <w:rPr>
          <w:rFonts w:ascii="Times New Roman" w:hAnsi="Times New Roman"/>
          <w:b/>
          <w:bCs/>
          <w:sz w:val="22"/>
        </w:rPr>
        <w:t>Location</w:t>
      </w:r>
      <w:r w:rsidR="00575656" w:rsidRPr="00575656">
        <w:rPr>
          <w:rFonts w:ascii="Times New Roman" w:hAnsi="Times New Roman"/>
          <w:b/>
          <w:bCs/>
          <w:sz w:val="22"/>
        </w:rPr>
        <w:t xml:space="preserve"> can be provided.</w:t>
      </w:r>
    </w:p>
    <w:bookmarkEnd w:id="4"/>
    <w:p w14:paraId="21D69B12" w14:textId="77777777" w:rsidR="00CE3390" w:rsidRPr="00C34317"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C34317">
        <w:rPr>
          <w:rFonts w:cs="Arial"/>
          <w:b/>
          <w:sz w:val="32"/>
          <w:szCs w:val="32"/>
          <w:lang w:eastAsia="zh-CN"/>
        </w:rPr>
        <w:t>Conclusion</w:t>
      </w:r>
    </w:p>
    <w:p w14:paraId="4107CB1E" w14:textId="352D823D" w:rsidR="00A90536" w:rsidRPr="00C34317" w:rsidRDefault="00A90536" w:rsidP="004A48D0">
      <w:pPr>
        <w:rPr>
          <w:rFonts w:ascii="Times New Roman" w:hAnsi="Times New Roman"/>
          <w:sz w:val="22"/>
          <w:lang w:val="en-GB"/>
        </w:rPr>
      </w:pPr>
      <w:r w:rsidRPr="00C34317">
        <w:rPr>
          <w:rFonts w:ascii="Times New Roman" w:hAnsi="Times New Roman"/>
          <w:sz w:val="22"/>
          <w:lang w:val="en-GB"/>
        </w:rPr>
        <w:t xml:space="preserve">In this contribution, </w:t>
      </w:r>
      <w:r w:rsidR="000E18AA" w:rsidRPr="00C34317">
        <w:rPr>
          <w:rFonts w:ascii="Times New Roman" w:hAnsi="Times New Roman"/>
          <w:sz w:val="22"/>
          <w:lang w:val="en-GB"/>
        </w:rPr>
        <w:t xml:space="preserve">we </w:t>
      </w:r>
      <w:r w:rsidR="004F3048" w:rsidRPr="00C34317">
        <w:rPr>
          <w:rFonts w:ascii="Times New Roman" w:hAnsi="Times New Roman"/>
          <w:sz w:val="22"/>
        </w:rPr>
        <w:t>provide</w:t>
      </w:r>
      <w:r w:rsidR="006A7F06" w:rsidRPr="00C34317">
        <w:rPr>
          <w:rFonts w:ascii="Times New Roman" w:hAnsi="Times New Roman"/>
          <w:sz w:val="22"/>
        </w:rPr>
        <w:t xml:space="preserve"> further</w:t>
      </w:r>
      <w:r w:rsidR="004F3048" w:rsidRPr="00C34317">
        <w:rPr>
          <w:rFonts w:ascii="Times New Roman" w:hAnsi="Times New Roman"/>
          <w:sz w:val="22"/>
        </w:rPr>
        <w:t xml:space="preserve"> issue analysis of</w:t>
      </w:r>
      <w:r w:rsidR="006A7F06" w:rsidRPr="00C34317">
        <w:rPr>
          <w:rFonts w:ascii="Times New Roman" w:hAnsi="Times New Roman"/>
          <w:sz w:val="22"/>
        </w:rPr>
        <w:t xml:space="preserve"> IDLE/INACTIVE mobility in NTN</w:t>
      </w:r>
      <w:r w:rsidR="00954892" w:rsidRPr="00C34317">
        <w:rPr>
          <w:rFonts w:ascii="Times New Roman" w:hAnsi="Times New Roman"/>
          <w:sz w:val="22"/>
        </w:rPr>
        <w:t xml:space="preserve"> considering moving cells</w:t>
      </w:r>
      <w:r w:rsidR="00632713" w:rsidRPr="00C34317">
        <w:rPr>
          <w:rFonts w:ascii="Times New Roman" w:hAnsi="Times New Roman"/>
          <w:sz w:val="22"/>
          <w:lang w:val="en-GB"/>
        </w:rPr>
        <w:t>.</w:t>
      </w:r>
      <w:r w:rsidR="00160536" w:rsidRPr="00C34317">
        <w:rPr>
          <w:rFonts w:ascii="Times New Roman" w:hAnsi="Times New Roman"/>
          <w:sz w:val="22"/>
          <w:lang w:val="en-GB"/>
        </w:rPr>
        <w:t xml:space="preserve"> T</w:t>
      </w:r>
      <w:r w:rsidR="00513357" w:rsidRPr="00C34317">
        <w:rPr>
          <w:rFonts w:ascii="Times New Roman" w:hAnsi="Times New Roman"/>
          <w:sz w:val="22"/>
          <w:lang w:val="en-GB"/>
        </w:rPr>
        <w:t>he following</w:t>
      </w:r>
      <w:r w:rsidR="007A72BF" w:rsidRPr="00C34317">
        <w:rPr>
          <w:rFonts w:ascii="Times New Roman" w:hAnsi="Times New Roman"/>
          <w:sz w:val="22"/>
          <w:lang w:val="en-GB"/>
        </w:rPr>
        <w:t xml:space="preserve"> observation </w:t>
      </w:r>
      <w:r w:rsidR="00BE7260" w:rsidRPr="00C34317">
        <w:rPr>
          <w:rFonts w:ascii="Times New Roman" w:hAnsi="Times New Roman"/>
          <w:sz w:val="22"/>
          <w:lang w:val="en-GB"/>
        </w:rPr>
        <w:t>are</w:t>
      </w:r>
      <w:r w:rsidR="00513357" w:rsidRPr="00C34317">
        <w:rPr>
          <w:rFonts w:ascii="Times New Roman" w:hAnsi="Times New Roman"/>
          <w:sz w:val="22"/>
          <w:lang w:val="en-GB"/>
        </w:rPr>
        <w:t xml:space="preserve"> given</w:t>
      </w:r>
      <w:r w:rsidRPr="00C34317">
        <w:rPr>
          <w:rFonts w:ascii="Times New Roman" w:hAnsi="Times New Roman"/>
          <w:sz w:val="22"/>
          <w:lang w:val="en-GB"/>
        </w:rPr>
        <w:t>:</w:t>
      </w:r>
    </w:p>
    <w:p w14:paraId="6BE82930" w14:textId="77777777" w:rsidR="00575656" w:rsidRPr="00575656" w:rsidRDefault="00575656" w:rsidP="00575656">
      <w:pPr>
        <w:rPr>
          <w:rFonts w:ascii="Times New Roman" w:hAnsi="Times New Roman"/>
          <w:b/>
          <w:bCs/>
          <w:sz w:val="22"/>
        </w:rPr>
      </w:pPr>
      <w:r w:rsidRPr="00575656">
        <w:rPr>
          <w:rFonts w:ascii="Times New Roman" w:hAnsi="Times New Roman"/>
          <w:b/>
          <w:bCs/>
          <w:sz w:val="22"/>
        </w:rPr>
        <w:t xml:space="preserve">Observation 1: In </w:t>
      </w:r>
      <w:r w:rsidRPr="00575656">
        <w:rPr>
          <w:rFonts w:ascii="Times New Roman" w:eastAsiaTheme="minorEastAsia" w:hAnsi="Times New Roman"/>
          <w:b/>
          <w:bCs/>
          <w:sz w:val="22"/>
        </w:rPr>
        <w:t>earth-moving cells wherein cell stop serving time is UE/location-specific while feeder link switch is cell-specific</w:t>
      </w:r>
      <w:r w:rsidRPr="00575656">
        <w:rPr>
          <w:rFonts w:ascii="Times New Roman" w:hAnsi="Times New Roman"/>
          <w:b/>
          <w:bCs/>
          <w:sz w:val="22"/>
        </w:rPr>
        <w:t xml:space="preserve">, it could be unclear to use one parameter to indicate two possible </w:t>
      </w:r>
      <w:r w:rsidRPr="00575656">
        <w:rPr>
          <w:rFonts w:ascii="Times New Roman" w:hAnsi="Times New Roman" w:hint="eastAsia"/>
          <w:b/>
          <w:bCs/>
          <w:sz w:val="22"/>
        </w:rPr>
        <w:t>variables</w:t>
      </w:r>
      <w:r w:rsidRPr="00575656">
        <w:rPr>
          <w:rFonts w:ascii="Times New Roman" w:hAnsi="Times New Roman"/>
          <w:b/>
          <w:bCs/>
          <w:sz w:val="22"/>
        </w:rPr>
        <w:t>.</w:t>
      </w:r>
    </w:p>
    <w:p w14:paraId="44810601" w14:textId="77777777" w:rsidR="00575656" w:rsidRPr="007F5296" w:rsidRDefault="00575656" w:rsidP="00575656">
      <w:pPr>
        <w:rPr>
          <w:rFonts w:ascii="Times New Roman" w:hAnsi="Times New Roman"/>
          <w:b/>
          <w:bCs/>
          <w:sz w:val="22"/>
        </w:rPr>
      </w:pPr>
      <w:r w:rsidRPr="007F5296">
        <w:rPr>
          <w:rFonts w:ascii="Times New Roman" w:hAnsi="Times New Roman"/>
          <w:b/>
          <w:bCs/>
          <w:sz w:val="22"/>
        </w:rPr>
        <w:t xml:space="preserve">Observation </w:t>
      </w:r>
      <w:r>
        <w:rPr>
          <w:rFonts w:ascii="Times New Roman" w:hAnsi="Times New Roman"/>
          <w:b/>
          <w:bCs/>
          <w:sz w:val="22"/>
        </w:rPr>
        <w:t>2</w:t>
      </w:r>
      <w:r w:rsidRPr="007F5296">
        <w:rPr>
          <w:rFonts w:ascii="Times New Roman" w:hAnsi="Times New Roman"/>
          <w:b/>
          <w:bCs/>
          <w:sz w:val="22"/>
        </w:rPr>
        <w:t xml:space="preserve">: </w:t>
      </w:r>
      <w:r>
        <w:rPr>
          <w:rFonts w:ascii="Times New Roman" w:hAnsi="Times New Roman"/>
          <w:b/>
          <w:bCs/>
          <w:sz w:val="22"/>
        </w:rPr>
        <w:t>D</w:t>
      </w:r>
      <w:r w:rsidRPr="007F5296">
        <w:rPr>
          <w:rFonts w:ascii="Times New Roman" w:hAnsi="Times New Roman"/>
          <w:b/>
          <w:bCs/>
          <w:sz w:val="22"/>
        </w:rPr>
        <w:t>eriv</w:t>
      </w:r>
      <w:r>
        <w:rPr>
          <w:rFonts w:ascii="Times New Roman" w:hAnsi="Times New Roman"/>
          <w:b/>
          <w:bCs/>
          <w:sz w:val="22"/>
        </w:rPr>
        <w:t>ing</w:t>
      </w:r>
      <w:r w:rsidRPr="007F5296">
        <w:rPr>
          <w:rFonts w:ascii="Times New Roman" w:hAnsi="Times New Roman"/>
          <w:b/>
          <w:bCs/>
          <w:sz w:val="22"/>
        </w:rPr>
        <w:t xml:space="preserve"> the reference location of an Earth-moving cell only by the ephemeris data</w:t>
      </w:r>
      <w:r>
        <w:rPr>
          <w:rFonts w:ascii="Times New Roman" w:hAnsi="Times New Roman"/>
          <w:b/>
          <w:bCs/>
          <w:sz w:val="22"/>
        </w:rPr>
        <w:t xml:space="preserve"> at epoch time has uncertainty in accuracy and introduces more power consumption for UE’s calculation</w:t>
      </w:r>
      <w:r w:rsidRPr="007F5296">
        <w:rPr>
          <w:rFonts w:ascii="Times New Roman" w:hAnsi="Times New Roman"/>
          <w:b/>
          <w:bCs/>
          <w:sz w:val="22"/>
        </w:rPr>
        <w:t>.</w:t>
      </w:r>
    </w:p>
    <w:p w14:paraId="5FC8578B" w14:textId="75444A46" w:rsidR="000E18AA" w:rsidRPr="00C34317" w:rsidRDefault="000E18AA" w:rsidP="004A48D0">
      <w:pPr>
        <w:rPr>
          <w:rFonts w:ascii="Times New Roman" w:hAnsi="Times New Roman"/>
          <w:sz w:val="22"/>
          <w:lang w:val="en-GB"/>
        </w:rPr>
      </w:pPr>
      <w:r w:rsidRPr="00C34317">
        <w:rPr>
          <w:rFonts w:ascii="Times New Roman" w:hAnsi="Times New Roman"/>
          <w:sz w:val="22"/>
          <w:lang w:val="en-GB"/>
        </w:rPr>
        <w:t>And we propose:</w:t>
      </w:r>
    </w:p>
    <w:p w14:paraId="50B001B9" w14:textId="77777777" w:rsidR="00575656" w:rsidRPr="002744AB" w:rsidRDefault="00575656" w:rsidP="00575656">
      <w:pPr>
        <w:rPr>
          <w:rFonts w:ascii="Times New Roman" w:eastAsiaTheme="minorEastAsia" w:hAnsi="Times New Roman"/>
          <w:b/>
          <w:bCs/>
          <w:sz w:val="22"/>
        </w:rPr>
      </w:pPr>
      <w:r w:rsidRPr="002744AB">
        <w:rPr>
          <w:rFonts w:ascii="Times New Roman" w:eastAsiaTheme="minorEastAsia" w:hAnsi="Times New Roman" w:hint="eastAsia"/>
          <w:b/>
          <w:bCs/>
          <w:sz w:val="22"/>
        </w:rPr>
        <w:t>P</w:t>
      </w:r>
      <w:r w:rsidRPr="002744AB">
        <w:rPr>
          <w:rFonts w:ascii="Times New Roman" w:eastAsiaTheme="minorEastAsia" w:hAnsi="Times New Roman"/>
          <w:b/>
          <w:bCs/>
          <w:sz w:val="22"/>
        </w:rPr>
        <w:t>roposal 1: A new optional IE is introduced to indicate the feeder link switch time for NTN cells.</w:t>
      </w:r>
    </w:p>
    <w:p w14:paraId="3B884EE1" w14:textId="64605EF6" w:rsidR="00954892" w:rsidRPr="00575656" w:rsidRDefault="00575656" w:rsidP="00575656">
      <w:pPr>
        <w:rPr>
          <w:rFonts w:ascii="Times New Roman" w:hAnsi="Times New Roman"/>
          <w:b/>
          <w:bCs/>
          <w:sz w:val="22"/>
        </w:rPr>
      </w:pPr>
      <w:r w:rsidRPr="00C34317">
        <w:rPr>
          <w:rFonts w:ascii="Times New Roman" w:hAnsi="Times New Roman"/>
          <w:b/>
          <w:bCs/>
          <w:sz w:val="22"/>
        </w:rPr>
        <w:t xml:space="preserve">Proposal </w:t>
      </w:r>
      <w:r>
        <w:rPr>
          <w:rFonts w:ascii="Times New Roman" w:hAnsi="Times New Roman"/>
          <w:b/>
          <w:bCs/>
          <w:sz w:val="22"/>
        </w:rPr>
        <w:t>2</w:t>
      </w:r>
      <w:r w:rsidRPr="00C34317">
        <w:rPr>
          <w:rFonts w:ascii="Times New Roman" w:hAnsi="Times New Roman"/>
          <w:b/>
          <w:bCs/>
          <w:sz w:val="22"/>
        </w:rPr>
        <w:t xml:space="preserve">: For earth-moving cells, </w:t>
      </w:r>
      <w:r w:rsidRPr="00575656">
        <w:rPr>
          <w:rFonts w:ascii="Times New Roman" w:hAnsi="Times New Roman"/>
          <w:b/>
          <w:bCs/>
          <w:sz w:val="22"/>
        </w:rPr>
        <w:t>change information (e.g., drift or velocity vector) of reference Location can be provided.</w:t>
      </w:r>
    </w:p>
    <w:sectPr w:rsidR="00954892" w:rsidRPr="00575656"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A5A5B" w14:textId="77777777" w:rsidR="007B6E49" w:rsidRDefault="007B6E49">
      <w:r>
        <w:separator/>
      </w:r>
    </w:p>
  </w:endnote>
  <w:endnote w:type="continuationSeparator" w:id="0">
    <w:p w14:paraId="11CDB168" w14:textId="77777777" w:rsidR="007B6E49" w:rsidRDefault="007B6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99277" w14:textId="77777777" w:rsidR="007B6E49" w:rsidRDefault="007B6E49">
      <w:r>
        <w:separator/>
      </w:r>
    </w:p>
  </w:footnote>
  <w:footnote w:type="continuationSeparator" w:id="0">
    <w:p w14:paraId="591DC285" w14:textId="77777777" w:rsidR="007B6E49" w:rsidRDefault="007B6E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697D9F"/>
    <w:multiLevelType w:val="hybridMultilevel"/>
    <w:tmpl w:val="043849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ED50EB"/>
    <w:multiLevelType w:val="hybridMultilevel"/>
    <w:tmpl w:val="2B0488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852D47"/>
    <w:multiLevelType w:val="hybridMultilevel"/>
    <w:tmpl w:val="F17E1FC4"/>
    <w:lvl w:ilvl="0" w:tplc="0409000B">
      <w:start w:val="1"/>
      <w:numFmt w:val="bullet"/>
      <w:lvlText w:val=""/>
      <w:lvlJc w:val="left"/>
      <w:pPr>
        <w:ind w:left="420" w:hanging="420"/>
      </w:pPr>
      <w:rPr>
        <w:rFonts w:ascii="Wingdings" w:hAnsi="Wingding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7D1791"/>
    <w:multiLevelType w:val="hybridMultilevel"/>
    <w:tmpl w:val="AD342416"/>
    <w:lvl w:ilvl="0" w:tplc="9AC4F53A">
      <w:start w:val="58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2313E1"/>
    <w:multiLevelType w:val="hybridMultilevel"/>
    <w:tmpl w:val="81785F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B612A9"/>
    <w:multiLevelType w:val="hybridMultilevel"/>
    <w:tmpl w:val="33547A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FD40CD"/>
    <w:multiLevelType w:val="hybridMultilevel"/>
    <w:tmpl w:val="542800E6"/>
    <w:lvl w:ilvl="0" w:tplc="5DD674C4">
      <w:start w:val="20"/>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3030EB2"/>
    <w:multiLevelType w:val="hybridMultilevel"/>
    <w:tmpl w:val="04A456D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7764629"/>
    <w:multiLevelType w:val="hybridMultilevel"/>
    <w:tmpl w:val="A74829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63AB6C85"/>
    <w:multiLevelType w:val="hybridMultilevel"/>
    <w:tmpl w:val="EFAC4E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78B1A9C"/>
    <w:multiLevelType w:val="hybridMultilevel"/>
    <w:tmpl w:val="167AC6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0E4242"/>
    <w:multiLevelType w:val="hybridMultilevel"/>
    <w:tmpl w:val="50AAF2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271CD6"/>
    <w:multiLevelType w:val="hybridMultilevel"/>
    <w:tmpl w:val="CA8621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30657410">
    <w:abstractNumId w:val="13"/>
  </w:num>
  <w:num w:numId="2" w16cid:durableId="1612277071">
    <w:abstractNumId w:val="0"/>
  </w:num>
  <w:num w:numId="3" w16cid:durableId="561672841">
    <w:abstractNumId w:val="17"/>
  </w:num>
  <w:num w:numId="4" w16cid:durableId="1866287463">
    <w:abstractNumId w:val="16"/>
  </w:num>
  <w:num w:numId="5" w16cid:durableId="1260945135">
    <w:abstractNumId w:val="4"/>
  </w:num>
  <w:num w:numId="6" w16cid:durableId="1888644407">
    <w:abstractNumId w:val="12"/>
  </w:num>
  <w:num w:numId="7" w16cid:durableId="1260606349">
    <w:abstractNumId w:val="8"/>
  </w:num>
  <w:num w:numId="8" w16cid:durableId="1821338711">
    <w:abstractNumId w:val="5"/>
  </w:num>
  <w:num w:numId="9" w16cid:durableId="623661057">
    <w:abstractNumId w:val="1"/>
  </w:num>
  <w:num w:numId="10" w16cid:durableId="1106923068">
    <w:abstractNumId w:val="2"/>
  </w:num>
  <w:num w:numId="11" w16cid:durableId="1096947345">
    <w:abstractNumId w:val="6"/>
  </w:num>
  <w:num w:numId="12" w16cid:durableId="1819030130">
    <w:abstractNumId w:val="10"/>
  </w:num>
  <w:num w:numId="13" w16cid:durableId="1950625549">
    <w:abstractNumId w:val="14"/>
  </w:num>
  <w:num w:numId="14" w16cid:durableId="1348672438">
    <w:abstractNumId w:val="11"/>
  </w:num>
  <w:num w:numId="15" w16cid:durableId="672343675">
    <w:abstractNumId w:val="15"/>
  </w:num>
  <w:num w:numId="16" w16cid:durableId="996113403">
    <w:abstractNumId w:val="19"/>
  </w:num>
  <w:num w:numId="17" w16cid:durableId="1216888863">
    <w:abstractNumId w:val="18"/>
  </w:num>
  <w:num w:numId="18" w16cid:durableId="969438949">
    <w:abstractNumId w:val="3"/>
  </w:num>
  <w:num w:numId="19" w16cid:durableId="90710756">
    <w:abstractNumId w:val="7"/>
  </w:num>
  <w:num w:numId="20" w16cid:durableId="5115080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1DB8"/>
    <w:rsid w:val="000237F5"/>
    <w:rsid w:val="00023EEC"/>
    <w:rsid w:val="00023F38"/>
    <w:rsid w:val="0002498A"/>
    <w:rsid w:val="000250B6"/>
    <w:rsid w:val="0002637F"/>
    <w:rsid w:val="000272B2"/>
    <w:rsid w:val="0002762C"/>
    <w:rsid w:val="000276FC"/>
    <w:rsid w:val="000278E5"/>
    <w:rsid w:val="0002791E"/>
    <w:rsid w:val="000304EF"/>
    <w:rsid w:val="000305FE"/>
    <w:rsid w:val="00030C16"/>
    <w:rsid w:val="00030EFF"/>
    <w:rsid w:val="000318F3"/>
    <w:rsid w:val="00031CDC"/>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0ED5"/>
    <w:rsid w:val="000413B9"/>
    <w:rsid w:val="000415DD"/>
    <w:rsid w:val="00041E8D"/>
    <w:rsid w:val="000422D2"/>
    <w:rsid w:val="00042454"/>
    <w:rsid w:val="000425ED"/>
    <w:rsid w:val="00042AE0"/>
    <w:rsid w:val="00042D3C"/>
    <w:rsid w:val="0004355E"/>
    <w:rsid w:val="00043F6C"/>
    <w:rsid w:val="000446E8"/>
    <w:rsid w:val="00044919"/>
    <w:rsid w:val="00044922"/>
    <w:rsid w:val="00044A97"/>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5F7"/>
    <w:rsid w:val="00061878"/>
    <w:rsid w:val="0006235F"/>
    <w:rsid w:val="0006328A"/>
    <w:rsid w:val="00063E69"/>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3073"/>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512C"/>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669"/>
    <w:rsid w:val="00165848"/>
    <w:rsid w:val="0016588E"/>
    <w:rsid w:val="00165C84"/>
    <w:rsid w:val="001663C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1AA"/>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4BDA"/>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294"/>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67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3B9"/>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4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4C5B"/>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1D2"/>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1D95"/>
    <w:rsid w:val="002B23EA"/>
    <w:rsid w:val="002B273A"/>
    <w:rsid w:val="002B44D0"/>
    <w:rsid w:val="002B51C4"/>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9E5"/>
    <w:rsid w:val="003333C5"/>
    <w:rsid w:val="003339BD"/>
    <w:rsid w:val="00334AEE"/>
    <w:rsid w:val="00334D20"/>
    <w:rsid w:val="00335D39"/>
    <w:rsid w:val="00335F27"/>
    <w:rsid w:val="00336187"/>
    <w:rsid w:val="003363AB"/>
    <w:rsid w:val="003377F8"/>
    <w:rsid w:val="00337902"/>
    <w:rsid w:val="003408E9"/>
    <w:rsid w:val="003409C7"/>
    <w:rsid w:val="00340A1D"/>
    <w:rsid w:val="00340E9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27CD"/>
    <w:rsid w:val="003632FF"/>
    <w:rsid w:val="00363B83"/>
    <w:rsid w:val="00364853"/>
    <w:rsid w:val="003658A9"/>
    <w:rsid w:val="00366286"/>
    <w:rsid w:val="0036684A"/>
    <w:rsid w:val="003675D5"/>
    <w:rsid w:val="00367E8C"/>
    <w:rsid w:val="00367FB7"/>
    <w:rsid w:val="003701B6"/>
    <w:rsid w:val="003708AB"/>
    <w:rsid w:val="00370B31"/>
    <w:rsid w:val="003711BD"/>
    <w:rsid w:val="00371A43"/>
    <w:rsid w:val="00372066"/>
    <w:rsid w:val="00372FF7"/>
    <w:rsid w:val="00373370"/>
    <w:rsid w:val="00373E6B"/>
    <w:rsid w:val="00374AE5"/>
    <w:rsid w:val="0037502F"/>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1D6"/>
    <w:rsid w:val="003938EB"/>
    <w:rsid w:val="003939F8"/>
    <w:rsid w:val="00396D98"/>
    <w:rsid w:val="00396F77"/>
    <w:rsid w:val="00397188"/>
    <w:rsid w:val="00397B37"/>
    <w:rsid w:val="00397D28"/>
    <w:rsid w:val="003A03FC"/>
    <w:rsid w:val="003A0642"/>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192"/>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D80"/>
    <w:rsid w:val="00444DDD"/>
    <w:rsid w:val="00444E6F"/>
    <w:rsid w:val="00444F34"/>
    <w:rsid w:val="00445D38"/>
    <w:rsid w:val="00445DAA"/>
    <w:rsid w:val="004463CC"/>
    <w:rsid w:val="004476B1"/>
    <w:rsid w:val="00450862"/>
    <w:rsid w:val="00450A2D"/>
    <w:rsid w:val="00450ACC"/>
    <w:rsid w:val="00451735"/>
    <w:rsid w:val="0045237D"/>
    <w:rsid w:val="004527F1"/>
    <w:rsid w:val="004528DA"/>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8D0"/>
    <w:rsid w:val="004A4A41"/>
    <w:rsid w:val="004A4D66"/>
    <w:rsid w:val="004A517A"/>
    <w:rsid w:val="004A558E"/>
    <w:rsid w:val="004A6F69"/>
    <w:rsid w:val="004A7879"/>
    <w:rsid w:val="004B021A"/>
    <w:rsid w:val="004B0659"/>
    <w:rsid w:val="004B0917"/>
    <w:rsid w:val="004B0F04"/>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048"/>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66F"/>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9D8"/>
    <w:rsid w:val="00564D3F"/>
    <w:rsid w:val="00565196"/>
    <w:rsid w:val="0056565D"/>
    <w:rsid w:val="005657B4"/>
    <w:rsid w:val="0056580C"/>
    <w:rsid w:val="005668FE"/>
    <w:rsid w:val="00566EF6"/>
    <w:rsid w:val="005676AA"/>
    <w:rsid w:val="00567F8F"/>
    <w:rsid w:val="0057047B"/>
    <w:rsid w:val="00571B71"/>
    <w:rsid w:val="005724CB"/>
    <w:rsid w:val="005736C3"/>
    <w:rsid w:val="00574351"/>
    <w:rsid w:val="0057508E"/>
    <w:rsid w:val="005753BE"/>
    <w:rsid w:val="00575656"/>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D7D35"/>
    <w:rsid w:val="005E0344"/>
    <w:rsid w:val="005E07B4"/>
    <w:rsid w:val="005E0CF5"/>
    <w:rsid w:val="005E1075"/>
    <w:rsid w:val="005E1829"/>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5A6"/>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0B4"/>
    <w:rsid w:val="00616AEC"/>
    <w:rsid w:val="00616BEB"/>
    <w:rsid w:val="0061724B"/>
    <w:rsid w:val="006172B9"/>
    <w:rsid w:val="00617FBD"/>
    <w:rsid w:val="0062005A"/>
    <w:rsid w:val="006200BC"/>
    <w:rsid w:val="00620902"/>
    <w:rsid w:val="006210C2"/>
    <w:rsid w:val="00621EA2"/>
    <w:rsid w:val="00623853"/>
    <w:rsid w:val="006240FF"/>
    <w:rsid w:val="0062449D"/>
    <w:rsid w:val="00625050"/>
    <w:rsid w:val="00625557"/>
    <w:rsid w:val="006261A9"/>
    <w:rsid w:val="0062641C"/>
    <w:rsid w:val="0062653F"/>
    <w:rsid w:val="006266D7"/>
    <w:rsid w:val="006272AB"/>
    <w:rsid w:val="00627629"/>
    <w:rsid w:val="00627C77"/>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6E2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959"/>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A7F06"/>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49A"/>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580D"/>
    <w:rsid w:val="007866C8"/>
    <w:rsid w:val="007866D4"/>
    <w:rsid w:val="0078710D"/>
    <w:rsid w:val="007873FC"/>
    <w:rsid w:val="0078778D"/>
    <w:rsid w:val="00787B99"/>
    <w:rsid w:val="007900EC"/>
    <w:rsid w:val="0079078A"/>
    <w:rsid w:val="007910C9"/>
    <w:rsid w:val="0079195A"/>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ACC"/>
    <w:rsid w:val="007B4C76"/>
    <w:rsid w:val="007B542E"/>
    <w:rsid w:val="007B546E"/>
    <w:rsid w:val="007B60A7"/>
    <w:rsid w:val="007B6D21"/>
    <w:rsid w:val="007B6E49"/>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E7E32"/>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6"/>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D64"/>
    <w:rsid w:val="00823FA6"/>
    <w:rsid w:val="008240A5"/>
    <w:rsid w:val="00824195"/>
    <w:rsid w:val="00824529"/>
    <w:rsid w:val="0082600F"/>
    <w:rsid w:val="008266B3"/>
    <w:rsid w:val="00826B80"/>
    <w:rsid w:val="00827284"/>
    <w:rsid w:val="008275C3"/>
    <w:rsid w:val="0082779D"/>
    <w:rsid w:val="0083175B"/>
    <w:rsid w:val="00832372"/>
    <w:rsid w:val="0083344F"/>
    <w:rsid w:val="008343A2"/>
    <w:rsid w:val="00834AF3"/>
    <w:rsid w:val="00835FD0"/>
    <w:rsid w:val="0083688F"/>
    <w:rsid w:val="00836AEB"/>
    <w:rsid w:val="00837448"/>
    <w:rsid w:val="008401FE"/>
    <w:rsid w:val="00840819"/>
    <w:rsid w:val="0084158A"/>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51C"/>
    <w:rsid w:val="00863A02"/>
    <w:rsid w:val="00864CBA"/>
    <w:rsid w:val="00864CEF"/>
    <w:rsid w:val="00865E4C"/>
    <w:rsid w:val="008662FE"/>
    <w:rsid w:val="00866CD8"/>
    <w:rsid w:val="00867CC4"/>
    <w:rsid w:val="008708C9"/>
    <w:rsid w:val="0087112F"/>
    <w:rsid w:val="00871E69"/>
    <w:rsid w:val="008720A2"/>
    <w:rsid w:val="008729FE"/>
    <w:rsid w:val="00875CD2"/>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68"/>
    <w:rsid w:val="008875C6"/>
    <w:rsid w:val="008876C1"/>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20"/>
    <w:rsid w:val="008C1159"/>
    <w:rsid w:val="008C149F"/>
    <w:rsid w:val="008C2B8E"/>
    <w:rsid w:val="008C3859"/>
    <w:rsid w:val="008C3FF4"/>
    <w:rsid w:val="008C49EC"/>
    <w:rsid w:val="008C4AC8"/>
    <w:rsid w:val="008C5602"/>
    <w:rsid w:val="008C57E6"/>
    <w:rsid w:val="008C60AC"/>
    <w:rsid w:val="008C6C44"/>
    <w:rsid w:val="008C6C59"/>
    <w:rsid w:val="008C6E74"/>
    <w:rsid w:val="008C7912"/>
    <w:rsid w:val="008D0DA2"/>
    <w:rsid w:val="008D0F21"/>
    <w:rsid w:val="008D121B"/>
    <w:rsid w:val="008D1240"/>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CC7"/>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D5D"/>
    <w:rsid w:val="00940298"/>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892"/>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07F0"/>
    <w:rsid w:val="009B138E"/>
    <w:rsid w:val="009B1500"/>
    <w:rsid w:val="009B25B0"/>
    <w:rsid w:val="009B2ACA"/>
    <w:rsid w:val="009B4714"/>
    <w:rsid w:val="009B4827"/>
    <w:rsid w:val="009B4B16"/>
    <w:rsid w:val="009B4F09"/>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06"/>
    <w:rsid w:val="009C4255"/>
    <w:rsid w:val="009C4838"/>
    <w:rsid w:val="009C4B0B"/>
    <w:rsid w:val="009C5304"/>
    <w:rsid w:val="009C76C0"/>
    <w:rsid w:val="009C787D"/>
    <w:rsid w:val="009D157C"/>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BC4"/>
    <w:rsid w:val="009F1E58"/>
    <w:rsid w:val="009F1F8D"/>
    <w:rsid w:val="009F1FCF"/>
    <w:rsid w:val="009F23DD"/>
    <w:rsid w:val="009F2AB0"/>
    <w:rsid w:val="009F2DDA"/>
    <w:rsid w:val="009F3D0E"/>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0FC"/>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643B"/>
    <w:rsid w:val="00A26B00"/>
    <w:rsid w:val="00A27048"/>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662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4BE"/>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5EA3"/>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1F9"/>
    <w:rsid w:val="00B122E9"/>
    <w:rsid w:val="00B12702"/>
    <w:rsid w:val="00B12760"/>
    <w:rsid w:val="00B1302D"/>
    <w:rsid w:val="00B14E30"/>
    <w:rsid w:val="00B1689E"/>
    <w:rsid w:val="00B1771F"/>
    <w:rsid w:val="00B1790A"/>
    <w:rsid w:val="00B17A99"/>
    <w:rsid w:val="00B17E6F"/>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409A"/>
    <w:rsid w:val="00B25302"/>
    <w:rsid w:val="00B25374"/>
    <w:rsid w:val="00B260FA"/>
    <w:rsid w:val="00B26A09"/>
    <w:rsid w:val="00B27298"/>
    <w:rsid w:val="00B301E5"/>
    <w:rsid w:val="00B30A56"/>
    <w:rsid w:val="00B313A3"/>
    <w:rsid w:val="00B316D4"/>
    <w:rsid w:val="00B332FA"/>
    <w:rsid w:val="00B33C93"/>
    <w:rsid w:val="00B3439E"/>
    <w:rsid w:val="00B34A34"/>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6F"/>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1D4"/>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468"/>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0EE9"/>
    <w:rsid w:val="00BE1798"/>
    <w:rsid w:val="00BE22D0"/>
    <w:rsid w:val="00BE2622"/>
    <w:rsid w:val="00BE30B2"/>
    <w:rsid w:val="00BE367C"/>
    <w:rsid w:val="00BE3BBA"/>
    <w:rsid w:val="00BE5105"/>
    <w:rsid w:val="00BE5512"/>
    <w:rsid w:val="00BE62B3"/>
    <w:rsid w:val="00BE7260"/>
    <w:rsid w:val="00BE73A4"/>
    <w:rsid w:val="00BF0C69"/>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14F"/>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4D9B"/>
    <w:rsid w:val="00C268FE"/>
    <w:rsid w:val="00C2791F"/>
    <w:rsid w:val="00C27E5B"/>
    <w:rsid w:val="00C303A5"/>
    <w:rsid w:val="00C304DA"/>
    <w:rsid w:val="00C3081D"/>
    <w:rsid w:val="00C30FC7"/>
    <w:rsid w:val="00C315D8"/>
    <w:rsid w:val="00C31ED8"/>
    <w:rsid w:val="00C33D24"/>
    <w:rsid w:val="00C33E4E"/>
    <w:rsid w:val="00C34317"/>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6C5C"/>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08C"/>
    <w:rsid w:val="00C83392"/>
    <w:rsid w:val="00C83B04"/>
    <w:rsid w:val="00C83C4F"/>
    <w:rsid w:val="00C84525"/>
    <w:rsid w:val="00C84705"/>
    <w:rsid w:val="00C848CD"/>
    <w:rsid w:val="00C84A53"/>
    <w:rsid w:val="00C84ACD"/>
    <w:rsid w:val="00C857BF"/>
    <w:rsid w:val="00C857FB"/>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1E3"/>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6EE"/>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0F62"/>
    <w:rsid w:val="00CF12EA"/>
    <w:rsid w:val="00CF27ED"/>
    <w:rsid w:val="00CF300F"/>
    <w:rsid w:val="00CF47D4"/>
    <w:rsid w:val="00CF5B00"/>
    <w:rsid w:val="00CF62CC"/>
    <w:rsid w:val="00CF6889"/>
    <w:rsid w:val="00CF6C6B"/>
    <w:rsid w:val="00CF76D0"/>
    <w:rsid w:val="00CF7DFB"/>
    <w:rsid w:val="00D0040E"/>
    <w:rsid w:val="00D00618"/>
    <w:rsid w:val="00D00A1C"/>
    <w:rsid w:val="00D00DE8"/>
    <w:rsid w:val="00D03ABB"/>
    <w:rsid w:val="00D04085"/>
    <w:rsid w:val="00D0420A"/>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0D27"/>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055D"/>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57F4"/>
    <w:rsid w:val="00D766CC"/>
    <w:rsid w:val="00D76B87"/>
    <w:rsid w:val="00D77158"/>
    <w:rsid w:val="00D77D3B"/>
    <w:rsid w:val="00D800E6"/>
    <w:rsid w:val="00D80576"/>
    <w:rsid w:val="00D8057A"/>
    <w:rsid w:val="00D80C09"/>
    <w:rsid w:val="00D811AB"/>
    <w:rsid w:val="00D818DD"/>
    <w:rsid w:val="00D82061"/>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06E6"/>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6F13"/>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6ECE"/>
    <w:rsid w:val="00E1736C"/>
    <w:rsid w:val="00E17559"/>
    <w:rsid w:val="00E17EA5"/>
    <w:rsid w:val="00E21451"/>
    <w:rsid w:val="00E21875"/>
    <w:rsid w:val="00E22311"/>
    <w:rsid w:val="00E2271F"/>
    <w:rsid w:val="00E23656"/>
    <w:rsid w:val="00E23AF1"/>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7A"/>
    <w:rsid w:val="00E321F2"/>
    <w:rsid w:val="00E32CC2"/>
    <w:rsid w:val="00E32DB0"/>
    <w:rsid w:val="00E32E8B"/>
    <w:rsid w:val="00E3317E"/>
    <w:rsid w:val="00E33894"/>
    <w:rsid w:val="00E33C1D"/>
    <w:rsid w:val="00E35B95"/>
    <w:rsid w:val="00E364E5"/>
    <w:rsid w:val="00E36AC7"/>
    <w:rsid w:val="00E36B3C"/>
    <w:rsid w:val="00E370BD"/>
    <w:rsid w:val="00E37423"/>
    <w:rsid w:val="00E37A94"/>
    <w:rsid w:val="00E4015F"/>
    <w:rsid w:val="00E41158"/>
    <w:rsid w:val="00E421BA"/>
    <w:rsid w:val="00E42292"/>
    <w:rsid w:val="00E43153"/>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4A5"/>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11"/>
    <w:rsid w:val="00EC4067"/>
    <w:rsid w:val="00EC443F"/>
    <w:rsid w:val="00EC45F3"/>
    <w:rsid w:val="00EC5600"/>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03E"/>
    <w:rsid w:val="00ED34BB"/>
    <w:rsid w:val="00ED3954"/>
    <w:rsid w:val="00ED3D2C"/>
    <w:rsid w:val="00ED4964"/>
    <w:rsid w:val="00ED588A"/>
    <w:rsid w:val="00ED5FF0"/>
    <w:rsid w:val="00ED67F2"/>
    <w:rsid w:val="00ED6B2E"/>
    <w:rsid w:val="00ED7108"/>
    <w:rsid w:val="00ED72BA"/>
    <w:rsid w:val="00ED73BC"/>
    <w:rsid w:val="00ED73BF"/>
    <w:rsid w:val="00ED7AD2"/>
    <w:rsid w:val="00EE0F07"/>
    <w:rsid w:val="00EE195D"/>
    <w:rsid w:val="00EE1DAA"/>
    <w:rsid w:val="00EE23F3"/>
    <w:rsid w:val="00EE2D8C"/>
    <w:rsid w:val="00EE3915"/>
    <w:rsid w:val="00EE5192"/>
    <w:rsid w:val="00EE6B92"/>
    <w:rsid w:val="00EE6BA4"/>
    <w:rsid w:val="00EE7782"/>
    <w:rsid w:val="00EE7799"/>
    <w:rsid w:val="00EE7825"/>
    <w:rsid w:val="00EF0381"/>
    <w:rsid w:val="00EF1576"/>
    <w:rsid w:val="00EF15F0"/>
    <w:rsid w:val="00EF17BC"/>
    <w:rsid w:val="00EF1C60"/>
    <w:rsid w:val="00EF214E"/>
    <w:rsid w:val="00EF396C"/>
    <w:rsid w:val="00EF3B8E"/>
    <w:rsid w:val="00EF3BBF"/>
    <w:rsid w:val="00EF3C5C"/>
    <w:rsid w:val="00EF469B"/>
    <w:rsid w:val="00EF50CF"/>
    <w:rsid w:val="00EF5C80"/>
    <w:rsid w:val="00EF600C"/>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5B5"/>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5B"/>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E01"/>
    <w:rsid w:val="00F73FFA"/>
    <w:rsid w:val="00F74182"/>
    <w:rsid w:val="00F741CC"/>
    <w:rsid w:val="00F745CF"/>
    <w:rsid w:val="00F7462A"/>
    <w:rsid w:val="00F753B1"/>
    <w:rsid w:val="00F75811"/>
    <w:rsid w:val="00F75BAA"/>
    <w:rsid w:val="00F76544"/>
    <w:rsid w:val="00F7654B"/>
    <w:rsid w:val="00F77511"/>
    <w:rsid w:val="00F77962"/>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BEC"/>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5F32"/>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178C"/>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977297136">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2487</TotalTime>
  <Pages>3</Pages>
  <Words>1190</Words>
  <Characters>6789</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140</cp:revision>
  <cp:lastPrinted>2012-10-30T00:20:00Z</cp:lastPrinted>
  <dcterms:created xsi:type="dcterms:W3CDTF">2020-08-03T07:44:00Z</dcterms:created>
  <dcterms:modified xsi:type="dcterms:W3CDTF">2023-08-10T09:20:00Z</dcterms:modified>
</cp:coreProperties>
</file>